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B6" w:rsidRDefault="003300B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00B6" w:rsidRDefault="003300B6">
      <w:pPr>
        <w:pStyle w:val="ConsPlusNormal"/>
        <w:jc w:val="both"/>
        <w:outlineLvl w:val="0"/>
      </w:pPr>
    </w:p>
    <w:p w:rsidR="003300B6" w:rsidRDefault="003300B6">
      <w:pPr>
        <w:pStyle w:val="ConsPlusTitle"/>
        <w:jc w:val="center"/>
        <w:outlineLvl w:val="0"/>
      </w:pPr>
      <w:r>
        <w:t>ГУБЕРНАТОР КУРСКОЙ ОБЛАСТИ</w:t>
      </w:r>
    </w:p>
    <w:p w:rsidR="003300B6" w:rsidRDefault="003300B6">
      <w:pPr>
        <w:pStyle w:val="ConsPlusTitle"/>
        <w:jc w:val="center"/>
      </w:pPr>
    </w:p>
    <w:p w:rsidR="003300B6" w:rsidRDefault="003300B6">
      <w:pPr>
        <w:pStyle w:val="ConsPlusTitle"/>
        <w:jc w:val="center"/>
      </w:pPr>
      <w:r>
        <w:t>ПОСТАНОВЛЕНИЕ</w:t>
      </w:r>
    </w:p>
    <w:p w:rsidR="003300B6" w:rsidRDefault="003300B6">
      <w:pPr>
        <w:pStyle w:val="ConsPlusTitle"/>
        <w:jc w:val="center"/>
      </w:pPr>
      <w:r>
        <w:t>от 21 января 2025 г. N 8-пг</w:t>
      </w:r>
    </w:p>
    <w:p w:rsidR="003300B6" w:rsidRDefault="003300B6">
      <w:pPr>
        <w:pStyle w:val="ConsPlusTitle"/>
        <w:jc w:val="center"/>
      </w:pPr>
    </w:p>
    <w:p w:rsidR="003300B6" w:rsidRDefault="003300B6">
      <w:pPr>
        <w:pStyle w:val="ConsPlusTitle"/>
        <w:jc w:val="center"/>
      </w:pPr>
      <w:r>
        <w:t>ОБ УСТАНОВЛЕНИИ ОХРАННОЙ ЗОНЫ ПАМЯТНИКА ПРИРОДЫ</w:t>
      </w:r>
    </w:p>
    <w:p w:rsidR="003300B6" w:rsidRDefault="003300B6">
      <w:pPr>
        <w:pStyle w:val="ConsPlusTitle"/>
        <w:jc w:val="center"/>
      </w:pPr>
      <w:r>
        <w:t>РЕГИОНАЛЬНОГО ЗНАЧЕНИЯ "БАЛКА ЧЕНКИ"</w:t>
      </w:r>
    </w:p>
    <w:p w:rsidR="003300B6" w:rsidRDefault="003300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>от 23.05.2025 N 128-пг)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</w:tr>
    </w:tbl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февраля 2015 г. N 138 "Об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зон", </w:t>
      </w:r>
      <w:hyperlink r:id="rId8">
        <w:r>
          <w:rPr>
            <w:color w:val="0000FF"/>
          </w:rPr>
          <w:t>Законом</w:t>
        </w:r>
      </w:hyperlink>
      <w:r>
        <w:t xml:space="preserve"> Курской области от 22 ноября 2007 года N 118-ЗКО "О некоторых вопросах в области охраны и использования особо охраняемых природных территорий в Курской области" и в целях предотвращения неблагоприятных антропогенных воздействий на природные комплексы памятника природы регионального значения "Балка Ченки" постановляю: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 xml:space="preserve">1. Установить охранную зону памятника природы регионального значения "Балка Ченки", объявленного памятником природы регионального значения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24.05.2023 N 572-пп "О памятнике природы регионального значения "Балка Ченки".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300B6" w:rsidRDefault="003300B6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Положение</w:t>
        </w:r>
      </w:hyperlink>
      <w:r>
        <w:t xml:space="preserve"> об охранной зоне памятника природы регионального значения "Балка Ченки";</w:t>
      </w:r>
    </w:p>
    <w:p w:rsidR="003300B6" w:rsidRDefault="003300B6">
      <w:pPr>
        <w:pStyle w:val="ConsPlusNormal"/>
        <w:spacing w:before="220"/>
        <w:ind w:firstLine="540"/>
        <w:jc w:val="both"/>
      </w:pPr>
      <w:hyperlink w:anchor="P99">
        <w:r>
          <w:rPr>
            <w:color w:val="0000FF"/>
          </w:rPr>
          <w:t>границы</w:t>
        </w:r>
      </w:hyperlink>
      <w:r>
        <w:t xml:space="preserve"> охранной зоны памятника природы регионального значения "Балка Ченки".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right"/>
      </w:pPr>
      <w:r>
        <w:t>Временно исполняющий</w:t>
      </w:r>
    </w:p>
    <w:p w:rsidR="003300B6" w:rsidRDefault="003300B6">
      <w:pPr>
        <w:pStyle w:val="ConsPlusNormal"/>
        <w:jc w:val="right"/>
      </w:pPr>
      <w:r>
        <w:t>обязанности Губернатора</w:t>
      </w:r>
    </w:p>
    <w:p w:rsidR="003300B6" w:rsidRDefault="003300B6">
      <w:pPr>
        <w:pStyle w:val="ConsPlusNormal"/>
        <w:jc w:val="right"/>
      </w:pPr>
      <w:r>
        <w:t>Курской области</w:t>
      </w:r>
    </w:p>
    <w:p w:rsidR="003300B6" w:rsidRDefault="003300B6">
      <w:pPr>
        <w:pStyle w:val="ConsPlusNormal"/>
        <w:jc w:val="right"/>
      </w:pPr>
      <w:r>
        <w:t>А.Е.ХИНШТЕЙН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right"/>
        <w:outlineLvl w:val="0"/>
      </w:pPr>
      <w:r>
        <w:t>Утверждено</w:t>
      </w:r>
    </w:p>
    <w:p w:rsidR="003300B6" w:rsidRDefault="003300B6">
      <w:pPr>
        <w:pStyle w:val="ConsPlusNormal"/>
        <w:jc w:val="right"/>
      </w:pPr>
      <w:r>
        <w:t>постановлением</w:t>
      </w:r>
    </w:p>
    <w:p w:rsidR="003300B6" w:rsidRDefault="003300B6">
      <w:pPr>
        <w:pStyle w:val="ConsPlusNormal"/>
        <w:jc w:val="right"/>
      </w:pPr>
      <w:r>
        <w:t>Губернатора Курской области</w:t>
      </w:r>
    </w:p>
    <w:p w:rsidR="003300B6" w:rsidRDefault="003300B6">
      <w:pPr>
        <w:pStyle w:val="ConsPlusNormal"/>
        <w:jc w:val="right"/>
      </w:pPr>
      <w:r>
        <w:t>от 21 января 2025 г. N 8-пг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</w:pPr>
      <w:bookmarkStart w:id="0" w:name="P32"/>
      <w:bookmarkEnd w:id="0"/>
      <w:r>
        <w:t>ПОЛОЖЕНИЕ</w:t>
      </w:r>
    </w:p>
    <w:p w:rsidR="003300B6" w:rsidRDefault="003300B6">
      <w:pPr>
        <w:pStyle w:val="ConsPlusTitle"/>
        <w:jc w:val="center"/>
      </w:pPr>
      <w:r>
        <w:t>ОБ ОХРАННОЙ ЗОНЕ ПАМЯТНИКА ПРИРОДЫ РЕГИОНАЛЬНОГО ЗНАЧЕНИЯ</w:t>
      </w:r>
    </w:p>
    <w:p w:rsidR="003300B6" w:rsidRDefault="003300B6">
      <w:pPr>
        <w:pStyle w:val="ConsPlusTitle"/>
        <w:jc w:val="center"/>
      </w:pPr>
      <w:r>
        <w:t>"БАЛКА ЧЕНКИ"</w:t>
      </w:r>
    </w:p>
    <w:p w:rsidR="003300B6" w:rsidRDefault="003300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0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3300B6" w:rsidRDefault="003300B6">
            <w:pPr>
              <w:pStyle w:val="ConsPlusNormal"/>
              <w:jc w:val="center"/>
            </w:pPr>
            <w:r>
              <w:rPr>
                <w:color w:val="392C69"/>
              </w:rPr>
              <w:t>от 23.05.2025 N 128-пг)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0B6" w:rsidRDefault="003300B6">
            <w:pPr>
              <w:pStyle w:val="ConsPlusNormal"/>
            </w:pPr>
          </w:p>
        </w:tc>
      </w:tr>
    </w:tbl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t>1. Общие положения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ind w:firstLine="540"/>
        <w:jc w:val="both"/>
      </w:pPr>
      <w:r>
        <w:t>1.1. Охранная зона памятника природы регионального значения "Балка Ченки" (далее - охранная зона, памятник природы) установлена в целях защиты памятника природы от неблагоприятных антропогенных воздействий на прилегающей к нему территории.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1.2. Охранная зона расположена на территории муниципального образования "Лебяженский сельсовет" Курского района Курской области.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1.3. Площадь охранной зоны составляет 30,4345 га. Охранная зона состоит из одного контура.</w:t>
      </w:r>
    </w:p>
    <w:p w:rsidR="003300B6" w:rsidRDefault="003300B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23.05.2025 N 128-пг)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Общая площадь памятника природы с охранной зоной составляет 112,1509 га.</w:t>
      </w:r>
    </w:p>
    <w:p w:rsidR="003300B6" w:rsidRDefault="003300B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23.05.2025 N 128-пг)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1.4. Охранная зона расположена в кадастровых кварталах 46:11:080501, 46:11:080502, 46:11:082212.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В охранную зону памятника природы попадают: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часть земельного участка с кадастровым номером 46:11:082212:15, категория земель: земли сельскохозяйственного назначения, вид разрешенного использования: для сельскохозяйственного производства, правообладатель: Федеральное государственное бюджетное учреждение "Курский Федеральный аграрный научный центр" (выписка из ЕГРН от 20.02.2024 N КУВИ-001/2024-51976679);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часть земельного участка с кадастровым номером 46:11:082217:23, категория земель: земли сельскохозяйственного назначения, вид разрешенного использования: для сельскохозяйственного производства, правообладатель: Федеральное государственное бюджетное учреждение "Курский Федеральный аграрный научный центр" (выписка из ЕГРН от 21.02.2024 N КУВИ-001/2024-52741686).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1.5. Земельные участки в границах охранной зоны у собственников, землепользователей, землевладельцев и арендаторов не изымаются и используются ими с соблюдением установленного для таких земельных участков особого правового режима.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1.6. В границах охранной зоны памятника природы регионального значения "Балка Ченки" водные объекты отсутствуют.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t>2. Задачи охранной зоны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ind w:firstLine="540"/>
        <w:jc w:val="both"/>
      </w:pPr>
      <w:r>
        <w:t>2.1. Охранная зона предназначена для выполнения следующих основных задач: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снижение негативного воздействия хозяйственной деятельности на природные комплексы и объекты памятника природы;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сохранение малонарушенного участка разнотравных, ковыльных и меловых степей и лесостепей, являющегося местом обитания редких видов флоры и фауны Курской области, включенных в Красные книги Российской Федерации (2008 - растения, 2021 - животные) и Курской области (2017).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lastRenderedPageBreak/>
        <w:t>3. Режим охраны и использования земельных участков</w:t>
      </w:r>
    </w:p>
    <w:p w:rsidR="003300B6" w:rsidRDefault="003300B6">
      <w:pPr>
        <w:pStyle w:val="ConsPlusTitle"/>
        <w:jc w:val="center"/>
      </w:pPr>
      <w:r>
        <w:t>и водных объектов в границах охранной зоны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ind w:firstLine="540"/>
        <w:jc w:val="both"/>
      </w:pPr>
      <w:r>
        <w:t>3.1. В границах охранной зоны запрещается деятельность, оказывающая негативное (вредное) воздействие на природные комплексы и объекты растительного и животного мира памятника природы, в том числе: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деятельность, влекущая за собой нарушение условий обитания объектов растительного и животного мира;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деятельность, влекущая за собой нарушение почвенного покрова, распашка земель (за исключением мер противопожарного обустройства территории);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проведение археологических полевых работ (разведок, раскопок, наблюдений);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добывание птиц и млекопитающих, не отнесенных к объектам охоты;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разведение костров, пускание палов, выжигание растительности;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замусоривание и захламление территории;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создание объектов размещения и хранения отходов производства и потребления;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сбор цветов, листьев и других частей редких и охраняемых видов растений в любых целях, за исключением научных исследований, нанесение им любых иных повреждений (в том числе путем поджигания сухой травы);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разорение муравейников, гнезд, нор и прочих жилищ диких животных;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устройство лагерей скота, летних доек, загонов и иных форм долговременного содержания скота;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заправка топливом и мойка транспортных средств;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движение и стоянка механических транспортных средств вне дороги общего пользования, не связанных с функционированием памятника природы (кроме случаев, связанных с использованием транспортных средств собственниками, владельцами, пользователями земельных участков, расположенных в границах охранной зоны);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разбивка туристических стоянок;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уничтожение и повреждение специальных предупредительных аншлагов и информационных знаков.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В границах охранной зоны допускается: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проведение противопожарных и иных профилактических мероприятий, необходимых для обеспечения противопожарной безопасности и поддержания санитарных свойств территории памятника природы;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 xml:space="preserve">осуществление охоты в целях регулирования численности охотничьих ресурсов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 июля 2009 года N 209-ФЗ "Об охоте и сохранении охотничьих ресурсов и о внесении изменений в отдельные законодательные акты Российской Федерации" и </w:t>
      </w:r>
      <w:hyperlink r:id="rId14">
        <w:r>
          <w:rPr>
            <w:color w:val="0000FF"/>
          </w:rPr>
          <w:t>приказом</w:t>
        </w:r>
      </w:hyperlink>
      <w:r>
        <w:t xml:space="preserve"> Минприроды России от 24 июля 2020 г. N 477 "Об утверждении Правил охоты";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сенокошение;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lastRenderedPageBreak/>
        <w:t>использование автомобильной дороги общественным и личным транспортом, проведение дорожно-ремонтных работ, не наносящих вред природным объектам памятника природы, а также не приводящим к изменению границ охраняемой территории;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проведение научных исследований, в том числе в целях экологического мониторинга;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организация эколого-просветительских мероприятий, проведение учебно-познавательных экскурсий.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3.2. Государственное управление и региональный государственный контроль (надзор) в области охраны и использования особо охраняемых природных территорий регионального значения на территории охранной зоны осуществляет областное казенное учреждение "Дирекция по управлению особо охраняемыми природными территориями, парками, скверами и лесами Курской области".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3.3. Охранная зона обозначается на местности специальными предупредительными аншлагами и информационными знаками.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>3.4. Собственники, владельцы и пользователи земельных участков, находящихся в границах охранной зоны, а также иные юридические и физические лица обязаны соблюдать установленный режим особой охраны и несут за его нарушение административную и уголовную ответственность в соответствии с законодательством Российской Федерации.</w:t>
      </w:r>
    </w:p>
    <w:p w:rsidR="003300B6" w:rsidRDefault="003300B6">
      <w:pPr>
        <w:pStyle w:val="ConsPlusNormal"/>
        <w:spacing w:before="220"/>
        <w:ind w:firstLine="540"/>
        <w:jc w:val="both"/>
      </w:pPr>
      <w:r>
        <w:t xml:space="preserve">3.5. В границах охранной зоны хозяйственная деятельность осуществляется с соблюдением настоящего Положения 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в соответствии со </w:t>
      </w:r>
      <w:hyperlink r:id="rId15">
        <w:r>
          <w:rPr>
            <w:color w:val="0000FF"/>
          </w:rPr>
          <w:t>статьями 28</w:t>
        </w:r>
      </w:hyperlink>
      <w:r>
        <w:t xml:space="preserve"> и </w:t>
      </w:r>
      <w:hyperlink r:id="rId16">
        <w:r>
          <w:rPr>
            <w:color w:val="0000FF"/>
          </w:rPr>
          <w:t>42</w:t>
        </w:r>
      </w:hyperlink>
      <w:r>
        <w:t xml:space="preserve"> Федерального закона от 24 апреля 1995 года N 52-ФЗ "О животном мире", а также требований </w:t>
      </w:r>
      <w:hyperlink r:id="rId17">
        <w:r>
          <w:rPr>
            <w:color w:val="0000FF"/>
          </w:rPr>
          <w:t>статьи 65</w:t>
        </w:r>
      </w:hyperlink>
      <w:r>
        <w:t xml:space="preserve"> Водного кодекса Российской Федерации и </w:t>
      </w:r>
      <w:hyperlink r:id="rId18">
        <w:r>
          <w:rPr>
            <w:color w:val="0000FF"/>
          </w:rPr>
          <w:t>пункта 8 статьи 27</w:t>
        </w:r>
      </w:hyperlink>
      <w:r>
        <w:t xml:space="preserve"> Земельного кодекса Российской Федерации.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right"/>
        <w:outlineLvl w:val="0"/>
      </w:pPr>
      <w:r>
        <w:t>Утверждены</w:t>
      </w:r>
    </w:p>
    <w:p w:rsidR="003300B6" w:rsidRDefault="003300B6">
      <w:pPr>
        <w:pStyle w:val="ConsPlusNormal"/>
        <w:jc w:val="right"/>
      </w:pPr>
      <w:r>
        <w:t>постановлением</w:t>
      </w:r>
    </w:p>
    <w:p w:rsidR="003300B6" w:rsidRDefault="003300B6">
      <w:pPr>
        <w:pStyle w:val="ConsPlusNormal"/>
        <w:jc w:val="right"/>
      </w:pPr>
      <w:r>
        <w:t>Губернатора Курской области</w:t>
      </w:r>
    </w:p>
    <w:p w:rsidR="003300B6" w:rsidRDefault="003300B6">
      <w:pPr>
        <w:pStyle w:val="ConsPlusNormal"/>
        <w:jc w:val="right"/>
      </w:pPr>
      <w:r>
        <w:t>от 21 января 2025 г. N 8-пг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</w:pPr>
      <w:bookmarkStart w:id="1" w:name="P99"/>
      <w:bookmarkEnd w:id="1"/>
      <w:r>
        <w:t>ГРАНИЦЫ</w:t>
      </w:r>
    </w:p>
    <w:p w:rsidR="003300B6" w:rsidRDefault="003300B6">
      <w:pPr>
        <w:pStyle w:val="ConsPlusTitle"/>
        <w:jc w:val="center"/>
      </w:pPr>
      <w:r>
        <w:t>ОХРАННОЙ ЗОНЫ ПАМЯТНИКА ПРИРОДЫ РЕГИОНАЛЬНОГО ЗНАЧЕНИЯ</w:t>
      </w:r>
    </w:p>
    <w:p w:rsidR="003300B6" w:rsidRDefault="003300B6">
      <w:pPr>
        <w:pStyle w:val="ConsPlusTitle"/>
        <w:jc w:val="center"/>
      </w:pPr>
      <w:r>
        <w:t>"БАЛКА ЧЕНКИ"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center"/>
      </w:pPr>
      <w:r>
        <w:rPr>
          <w:noProof/>
          <w:position w:val="-264"/>
        </w:rPr>
        <w:lastRenderedPageBreak/>
        <w:drawing>
          <wp:inline distT="0" distB="0" distL="0" distR="0">
            <wp:extent cx="5344160" cy="35001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t>Основной лист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center"/>
      </w:pPr>
      <w:r>
        <w:rPr>
          <w:noProof/>
          <w:position w:val="-205"/>
        </w:rPr>
        <w:drawing>
          <wp:inline distT="0" distB="0" distL="0" distR="0">
            <wp:extent cx="5344160" cy="27495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t>Выносной лист 1</w:t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center"/>
      </w:pPr>
      <w:r>
        <w:rPr>
          <w:noProof/>
          <w:position w:val="-205"/>
        </w:rPr>
        <w:lastRenderedPageBreak/>
        <w:drawing>
          <wp:inline distT="0" distB="0" distL="0" distR="0">
            <wp:extent cx="5344160" cy="27432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Title"/>
        <w:jc w:val="center"/>
        <w:outlineLvl w:val="1"/>
      </w:pPr>
      <w:r>
        <w:t>Выносной лист 2</w:t>
      </w:r>
    </w:p>
    <w:p w:rsidR="003300B6" w:rsidRDefault="003300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8"/>
        <w:gridCol w:w="1152"/>
        <w:gridCol w:w="1275"/>
        <w:gridCol w:w="1757"/>
        <w:gridCol w:w="1828"/>
        <w:gridCol w:w="1531"/>
      </w:tblGrid>
      <w:tr w:rsidR="003300B6">
        <w:tc>
          <w:tcPr>
            <w:tcW w:w="9081" w:type="dxa"/>
            <w:gridSpan w:val="6"/>
            <w:vAlign w:val="center"/>
          </w:tcPr>
          <w:p w:rsidR="003300B6" w:rsidRDefault="003300B6">
            <w:pPr>
              <w:pStyle w:val="ConsPlusTitle"/>
              <w:jc w:val="center"/>
              <w:outlineLvl w:val="1"/>
            </w:pPr>
            <w:r>
              <w:t>Сведения о местоположении границ объекта</w:t>
            </w:r>
          </w:p>
        </w:tc>
      </w:tr>
      <w:tr w:rsidR="003300B6">
        <w:tc>
          <w:tcPr>
            <w:tcW w:w="9081" w:type="dxa"/>
            <w:gridSpan w:val="6"/>
            <w:vAlign w:val="center"/>
          </w:tcPr>
          <w:p w:rsidR="003300B6" w:rsidRDefault="003300B6">
            <w:pPr>
              <w:pStyle w:val="ConsPlusNormal"/>
            </w:pPr>
            <w:r>
              <w:t>1. Система координат МСК-46</w:t>
            </w:r>
          </w:p>
        </w:tc>
      </w:tr>
      <w:tr w:rsidR="003300B6">
        <w:tc>
          <w:tcPr>
            <w:tcW w:w="9081" w:type="dxa"/>
            <w:gridSpan w:val="6"/>
            <w:vAlign w:val="center"/>
          </w:tcPr>
          <w:p w:rsidR="003300B6" w:rsidRDefault="003300B6">
            <w:pPr>
              <w:pStyle w:val="ConsPlusNormal"/>
            </w:pPr>
            <w:r>
              <w:t>2. Сведения о характерных точках границ объекта</w:t>
            </w:r>
          </w:p>
        </w:tc>
      </w:tr>
      <w:tr w:rsidR="003300B6">
        <w:tc>
          <w:tcPr>
            <w:tcW w:w="1538" w:type="dxa"/>
            <w:vMerge w:val="restart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427" w:type="dxa"/>
            <w:gridSpan w:val="2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Координаты, м</w:t>
            </w:r>
          </w:p>
        </w:tc>
        <w:tc>
          <w:tcPr>
            <w:tcW w:w="1757" w:type="dxa"/>
            <w:vMerge w:val="restart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828" w:type="dxa"/>
            <w:vMerge w:val="restart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Средняя</w:t>
            </w:r>
          </w:p>
          <w:p w:rsidR="003300B6" w:rsidRDefault="003300B6">
            <w:pPr>
              <w:pStyle w:val="ConsPlusNormal"/>
              <w:jc w:val="center"/>
            </w:pPr>
            <w:r>
              <w:t>квадратическая</w:t>
            </w:r>
          </w:p>
          <w:p w:rsidR="003300B6" w:rsidRDefault="003300B6">
            <w:pPr>
              <w:pStyle w:val="ConsPlusNormal"/>
              <w:jc w:val="center"/>
            </w:pPr>
            <w:r>
              <w:t>погрешность положения характерной точки (М</w:t>
            </w:r>
            <w:r>
              <w:rPr>
                <w:vertAlign w:val="subscript"/>
              </w:rPr>
              <w:t>t</w:t>
            </w:r>
            <w:r>
              <w:t>), м</w:t>
            </w:r>
          </w:p>
        </w:tc>
        <w:tc>
          <w:tcPr>
            <w:tcW w:w="1531" w:type="dxa"/>
            <w:vMerge w:val="restart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3300B6">
        <w:tc>
          <w:tcPr>
            <w:tcW w:w="1538" w:type="dxa"/>
            <w:vMerge/>
          </w:tcPr>
          <w:p w:rsidR="003300B6" w:rsidRDefault="003300B6">
            <w:pPr>
              <w:pStyle w:val="ConsPlusNormal"/>
            </w:pP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Y</w:t>
            </w:r>
          </w:p>
        </w:tc>
        <w:tc>
          <w:tcPr>
            <w:tcW w:w="1757" w:type="dxa"/>
            <w:vMerge/>
          </w:tcPr>
          <w:p w:rsidR="003300B6" w:rsidRDefault="003300B6">
            <w:pPr>
              <w:pStyle w:val="ConsPlusNormal"/>
            </w:pPr>
          </w:p>
        </w:tc>
        <w:tc>
          <w:tcPr>
            <w:tcW w:w="1828" w:type="dxa"/>
            <w:vMerge/>
          </w:tcPr>
          <w:p w:rsidR="003300B6" w:rsidRDefault="003300B6">
            <w:pPr>
              <w:pStyle w:val="ConsPlusNormal"/>
            </w:pPr>
          </w:p>
        </w:tc>
        <w:tc>
          <w:tcPr>
            <w:tcW w:w="1531" w:type="dxa"/>
            <w:vMerge/>
          </w:tcPr>
          <w:p w:rsidR="003300B6" w:rsidRDefault="003300B6">
            <w:pPr>
              <w:pStyle w:val="ConsPlusNormal"/>
            </w:pP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408816,49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1304756,06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408806,43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1304798,65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408801,41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1304898,66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408806,43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1305061,62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408794,79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1305195,23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408786,86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1305234,38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408869,93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1305262,42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408933,16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1305287,82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408963,58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1305293,64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409007,76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1305291,26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409033,42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1305297,34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409055,65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1305313,48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409067,29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1305337,29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409112,26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1305457,93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409133,95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1305482,53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409165,44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1305490,47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409241,63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1305483,86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409265,97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1305471,42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409278,67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1305476,71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409287,13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1305510,31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409284,75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1305566,93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409292,16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1305605,29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409324,96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1305637,57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409355,65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1305653,70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409385,28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1305661,11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409415,18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1305658,99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409431,58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1305643,65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409448,78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1305568,78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409459,10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1305554,23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409499,84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1305556,88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409511,48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1305563,49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409545,08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1305745,24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409578,94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1305812,97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409598,25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1305827,78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409620,47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1305828,58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409747,46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1305792,33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409764,66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1305790,48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409771,01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1305798,15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409721,01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1305906,62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409715,72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1305937,57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409720,74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1305964,03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409753,81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1306002,39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409796,93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1306033,61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409828,42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1306046,57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409850,11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1306047,10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409867,84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1306034,67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409907,52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1305953,71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409934,24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1305916,14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409988,47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1305888,37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410005,93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1305886,25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410011,49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1305901,59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410017,58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1305957,15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409969,95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1306345,52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409780,94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1306248,11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409660,95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1306202,13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409607,88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1306188,47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409523,52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1306109,62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409445,74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1306208,32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409385,55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1306207,06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409282,10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1306229,21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409165,51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1306309,19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409010,52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1306221,43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409017,02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1306206,89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409093,74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1306189,96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409229,19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1306149,22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409344,54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1306093,66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409410,44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1306052,73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409436,08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1306021,17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409438,20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1305987,84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409419,72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1305947,79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409223,68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1305832,88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409056,66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1305688,79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408783,09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1305486,51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408675,50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1305400,15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408545,83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1305331,57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408530,38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1305330,97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408358,50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1305491,42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408276,69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1305571,14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408233,55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1305658,18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408183,27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1305692,74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408149,64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1305727,68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408127,58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1305715,34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408157,21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1305637,30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408148,74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1305617,72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408102,91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1305588,81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408125,99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1305478,83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408139,75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1305473,28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408178,64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1305486,77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408200,86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1305485,18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408215,94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1305473,01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408228,90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1305444,44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408240,81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1305436,50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408275,47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1305435,97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408295,31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1305429,36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408322,82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1305402,11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408396,10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1305308,46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408401,66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1305286,23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408388,96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1305258,72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408328,14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1305181,18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408316,21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1305151,57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408180,52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1305037,68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408143,34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1305011,84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408113,55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1305000,84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408002,86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1304982,68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407919,63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1304956,21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407863,14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1304948,89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407792,88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1304941,46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407692,95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1304943,90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Аналитический </w:t>
            </w:r>
            <w:r>
              <w:lastRenderedPageBreak/>
              <w:t>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407666,86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1304954,04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407521,89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1305014,37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407486,79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1305062,40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407470,14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1305201,81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407464,91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1305291,44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407468,74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1305370,91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407443,52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1305416,43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407424,80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1305422,17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407407,19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1305259,78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407392,37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1305196,55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407362,76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1305161,28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407264,32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1305234,06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407252,34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1305260,97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407197,16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1305276,43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407179,43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1305260,36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407126,74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1305258,07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407069,06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1305273,30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407037,47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1305279,03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407060,71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1305329,83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407058,63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1305348,63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407021,33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1305385,21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406985,15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1305366,91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406959,87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1305343,01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406931,25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1305231,73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406970,41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1305164,54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407074,91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1305122,47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407200,84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1305088,34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407252,69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1305071,15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407448,63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1304962,95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407429,68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1304884,11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407441,32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1304779,34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407462,48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1304702,36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407469,63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1304640,18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407467,24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1304611,61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407488,14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1304542,83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407504,81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1304532,51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407544,23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1304523,52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407567,25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1304533,30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407571,74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1304579,34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407545,55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1304683,57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407531,80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1304867,70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407540,26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1304876,43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407673,86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1304815,85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407677,83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1304803,42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407668,31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1304766,91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407669,90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1304728,81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407689,47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1304715,85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407723,86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1304705,27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407757,99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1304684,90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407790,53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1304683,31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407807,46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1304687,54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407815,67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1304698,39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407796,09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1304774,32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407792,65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1304808,44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407839,21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1304807,12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407851,38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1304799,98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407859,05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1304780,40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407841,86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1304667,96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407857,73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1304625,90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407866,73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1304577,22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407908,79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1304458,70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407924,40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1304435,42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407948,47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1304339,91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407935,51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1304262,13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407938,69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1304227,74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407953,24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1304202,08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407998,74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1304203,40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407999,27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1304144,41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407994,77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1304114,51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408000,86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1304069,54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408140,61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1304077,01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408114,12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1304400,28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Аналитический метод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408104,30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1304429,07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408051,65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1304430,39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408032,34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1304451,82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408024,93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1304502,88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408029,16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1304532,25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408035,51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1304558,97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408028,63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1304583,04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407997,68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1304640,45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407969,90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1304715,32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407992,65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1304827,49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408283,14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1304855,53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408427,85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1304874,58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408421,50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1304953,42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408517,01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1305127,23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408583,41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1305175,12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408626,00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1305197,87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408651,40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1305205,54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408665,16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1305143,90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408670,45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1304979,08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408686,59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1304923,53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408713,57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1304893,37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408728,39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1304858,71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408714,37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1304711,62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408724,16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1304662,14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408721,25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1304584,10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408706,96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1304520,08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408704,31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1304475,63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408744,00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1304442,30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408755,64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1304443,35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408779,45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1304524,84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408793,73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1304621,67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408811,72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1304712,94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408816,49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1304756,06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9081" w:type="dxa"/>
            <w:gridSpan w:val="6"/>
            <w:vAlign w:val="center"/>
          </w:tcPr>
          <w:p w:rsidR="003300B6" w:rsidRDefault="003300B6">
            <w:pPr>
              <w:pStyle w:val="ConsPlusNormal"/>
            </w:pP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408018,20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1304090,49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408119,00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1304095,89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408094,39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1304396,17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408089,87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1304409,42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408042,55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1304410,61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408013,42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1304442,94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408004,72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1304502,87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408009,50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1304535,99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408014,85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1304558,50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408010,00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1304575,46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407979,42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1304632,19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407949,17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1304713,71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407976,00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1304845,98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408280,87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1304875,41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408406,39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1304891,93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408401,08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1304957,79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408501,65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1305140,82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408572,80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1305192,13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408618,33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1305216,44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408666,23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1305230,92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408685,09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1305146,42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408690,36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1304982,24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408704,53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1304933,47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408730,67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1304904,25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408748,78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1304861,88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408734,55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1304712,63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408744,23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1304663,73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408741,16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1304581,53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408726,83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1304517,29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408724,88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1304484,48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408742,49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1304469,68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408759,86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1304529,12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408774,02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1304625,06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408791,94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1304715,97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408796,23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1304754,83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408786,55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1304795,83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408781,39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1304898,46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408786,41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1305061,06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408774,97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1305192,36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408763,75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1305247,69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408863,00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1305281,19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408927,50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1305307,10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408962,22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1305313,74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409005,95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1305311,39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409024,91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1305315,88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409039,86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1305326,74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409048,89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1305345,20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409094,81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1305468,38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409123,05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1305500,41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409163,81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1305510,69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409247,25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1305503,44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409262,78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1305495,51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409267,03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1305512,38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409264,67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1305568,42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409273,70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1305615,19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409313,04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1305653,89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409348,47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1305672,52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409383,52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1305681,29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409423,66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1305678,44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409449,71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1305654,08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409467,38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1305577,12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409468,95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1305574,91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409493,55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1305576,51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409525,92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1305751,66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409563,11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1305826,03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409591,15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1305847,54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409622,92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1305848,68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409741,27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1305814,90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409701,74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1305900,65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409695,39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1305937,76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409702,09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1305973,03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409740,19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1306017,22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409787,13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1306051,20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409824,23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1306066,47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409856,21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1306067,25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409883,53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1306048,09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409924,76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1305963,98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409947,71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1305931,72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409992,18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1305908,94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409997,44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1305957,02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409953,60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1306314,59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409789,12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1306229,83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409667,04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1306183,05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409617,81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1306170,37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409521,28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1306080,15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409436,20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1306188,12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409383,64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1306187,02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409274,05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1306210,48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409164,50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1306285,63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409049,10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1306220,29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409098,78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1306209,33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409236,46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1306167,92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409354,19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1306111,22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409423,85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1306067,94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409455,63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1306028,82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409458,48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1305984,06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409435,25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1305933,71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409235,37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1305816,54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409069,15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1305673,16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408795,30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1305470,66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408686,53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1305383,36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408551,16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1305311,76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408522,83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1305310,66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408344,70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1305476,95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408260,29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1305559,20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408217,94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1305644,64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408170,27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1305677,41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408178,79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1305636,81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408164,65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1305604,11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408125,34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1305579,31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408142,92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1305495,54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408175,96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1305507,01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408208,54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1305504,68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408232,19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1305485,59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408247,00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1305456,41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408278,86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1305455,92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408306,06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1305446,86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408337,79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1305415,43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408414,48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1305317,43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408422,77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1305284,25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408406,14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1305248,22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408345,63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1305171,07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408332,89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1305139,47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408192,68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1305021,78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408152,66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1304993,96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408118,68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1304981,41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408007,53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1304963,18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407923,98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1304936,61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407865,48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1304929,03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407793,69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1304921,43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407688,97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1304923,99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407659,39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1304935,48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407509,04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1304998,05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407467,55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1305054,83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407450,21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1305200,04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407444,88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1305291,34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407448,49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1305366,19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407440,42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1305380,75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407426,94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1305256,41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407410,76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1305187,34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407365,99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1305134,02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407248,19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1305221,11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407237,89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1305244,25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407202,40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1305254,19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407187,51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1305240,69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407124,57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1305237,96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407064,72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1305253,76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407008,58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1305263,94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407040,22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1305333,12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407039,54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1305339,34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407017,56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1305360,89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406996,77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1305350,38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406977,80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1305332,44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406952,67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1305234,71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</w:t>
            </w:r>
            <w:r>
              <w:lastRenderedPageBreak/>
              <w:t>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406984,23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1305180,53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407081,28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1305141,47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407206,60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1305107,50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407260,74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1305089,55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407471,64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1304973,09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407449,94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1304882,84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407461,02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1304783,12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407482,18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1304706,17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407489,72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1304640,50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геодезических измерений </w:t>
            </w:r>
            <w:r>
              <w:lastRenderedPageBreak/>
              <w:t>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407487,49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1304613,77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407505,09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1304555,86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407512,51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1304551,27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407542,36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1304544,46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407548,50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1304547,06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407551,50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1304577,83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407525,74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1304680,37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407511,18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1304875,18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407535,70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1304900,46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407690,22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1304830,40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407698,65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1304803,98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407688,41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1304764,75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407689,45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1304739,85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407698,11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1304734,12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407732,05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1304723,67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407763,96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1304704,63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407793,40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1304704,64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407776,34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1304770,80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407770,47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1304829,08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</w:t>
            </w:r>
            <w:r>
              <w:lastRenderedPageBreak/>
              <w:t>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407844,91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1304826,97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407867,48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1304813,72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407879,64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1304782,69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407862,42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1304670,12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407877,07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1304631,29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407886,10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1304582,41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407926,80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1304467,75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407942,94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1304443,67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407968,89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1304340,75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 xml:space="preserve">Метод спутниковых </w:t>
            </w:r>
            <w:r>
              <w:lastRenderedPageBreak/>
              <w:t>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lastRenderedPageBreak/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407955,66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1304261,40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407958,20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1304233,86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407964,69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1304222,42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408018,56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1304223,99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408019,28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1304143,00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408014,97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1304114,36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  <w:tr w:rsidR="003300B6">
        <w:tc>
          <w:tcPr>
            <w:tcW w:w="153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52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408018,20</w:t>
            </w:r>
          </w:p>
        </w:tc>
        <w:tc>
          <w:tcPr>
            <w:tcW w:w="1275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1304090,49</w:t>
            </w:r>
          </w:p>
        </w:tc>
        <w:tc>
          <w:tcPr>
            <w:tcW w:w="1757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1828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531" w:type="dxa"/>
            <w:vAlign w:val="center"/>
          </w:tcPr>
          <w:p w:rsidR="003300B6" w:rsidRDefault="003300B6">
            <w:pPr>
              <w:pStyle w:val="ConsPlusNormal"/>
              <w:jc w:val="center"/>
            </w:pPr>
            <w:r>
              <w:t>-</w:t>
            </w:r>
          </w:p>
        </w:tc>
      </w:tr>
    </w:tbl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jc w:val="both"/>
      </w:pPr>
    </w:p>
    <w:p w:rsidR="003300B6" w:rsidRDefault="003300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A55" w:rsidRDefault="00976A55">
      <w:bookmarkStart w:id="2" w:name="_GoBack"/>
      <w:bookmarkEnd w:id="2"/>
    </w:p>
    <w:sectPr w:rsidR="00976A55" w:rsidSect="00A7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B6"/>
    <w:rsid w:val="003300B6"/>
    <w:rsid w:val="009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58C9-86D0-4AB4-B0D9-300AEE92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00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0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0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8307&amp;dst=100243" TargetMode="External"/><Relationship Id="rId13" Type="http://schemas.openxmlformats.org/officeDocument/2006/relationships/hyperlink" Target="https://login.consultant.ru/link/?req=doc&amp;base=RZB&amp;n=499778" TargetMode="External"/><Relationship Id="rId18" Type="http://schemas.openxmlformats.org/officeDocument/2006/relationships/hyperlink" Target="https://login.consultant.ru/link/?req=doc&amp;base=RZB&amp;n=525514&amp;dst=101073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s://login.consultant.ru/link/?req=doc&amp;base=LAW&amp;n=397299&amp;dst=100046" TargetMode="External"/><Relationship Id="rId12" Type="http://schemas.openxmlformats.org/officeDocument/2006/relationships/hyperlink" Target="https://login.consultant.ru/link/?req=doc&amp;base=RLAW417&amp;n=131865&amp;dst=100012" TargetMode="External"/><Relationship Id="rId17" Type="http://schemas.openxmlformats.org/officeDocument/2006/relationships/hyperlink" Target="https://login.consultant.ru/link/?req=doc&amp;base=RZB&amp;n=523310&amp;dst=1005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500135&amp;dst=267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23522&amp;dst=100217" TargetMode="External"/><Relationship Id="rId11" Type="http://schemas.openxmlformats.org/officeDocument/2006/relationships/hyperlink" Target="https://login.consultant.ru/link/?req=doc&amp;base=RLAW417&amp;n=131865&amp;dst=100010" TargetMode="External"/><Relationship Id="rId5" Type="http://schemas.openxmlformats.org/officeDocument/2006/relationships/hyperlink" Target="https://login.consultant.ru/link/?req=doc&amp;base=RLAW417&amp;n=131865&amp;dst=100004" TargetMode="External"/><Relationship Id="rId15" Type="http://schemas.openxmlformats.org/officeDocument/2006/relationships/hyperlink" Target="https://login.consultant.ru/link/?req=doc&amp;base=RZB&amp;n=500135&amp;dst=1001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31865&amp;dst=100009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130541" TargetMode="External"/><Relationship Id="rId14" Type="http://schemas.openxmlformats.org/officeDocument/2006/relationships/hyperlink" Target="https://login.consultant.ru/link/?req=doc&amp;base=LAW&amp;n=5259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6726</Words>
  <Characters>38342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2026-03-24T07:47:00Z</dcterms:created>
  <dcterms:modified xsi:type="dcterms:W3CDTF">2026-03-24T07:48:00Z</dcterms:modified>
</cp:coreProperties>
</file>