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right"/>
        <w:rPr/>
      </w:pPr>
      <w:r>
        <w:rPr/>
      </w:r>
    </w:p>
    <w:p>
      <w:pPr>
        <w:pStyle w:val="Normal"/>
        <w:ind w:left="0" w:right="0" w:firstLine="698"/>
        <w:jc w:val="right"/>
        <w:rPr/>
      </w:pPr>
      <w:bookmarkStart w:id="0" w:name="sub_30000"/>
      <w:bookmarkEnd w:id="0"/>
      <w:r>
        <w:rPr/>
        <w:t>Приложение 3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Рекомендуемый образец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Расписка о получении документов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  </w:t>
      </w:r>
      <w:r>
        <w:rPr>
          <w:sz w:val="22"/>
        </w:rPr>
        <w:t>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>(фамилия, имя, отчество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>заявителя/представителя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            </w:t>
      </w:r>
      <w:r>
        <w:rPr>
          <w:sz w:val="22"/>
        </w:rPr>
        <w:t>заявителя)</w:t>
      </w:r>
    </w:p>
    <w:p>
      <w:pPr>
        <w:pStyle w:val="Style36"/>
        <w:rPr>
          <w:sz w:val="22"/>
        </w:rPr>
      </w:pPr>
      <w:r>
        <w:rPr>
          <w:sz w:val="22"/>
        </w:rPr>
        <w:t>Исх. N ____ от "____" ___________ 20____г.     __________________________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Я __________________________________________ получил "__" ______ 20 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(Ф.И.О. сотрудника, принявшего комплект               (дата)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</w:rPr>
        <w:t>документов)</w:t>
      </w:r>
    </w:p>
    <w:p>
      <w:pPr>
        <w:pStyle w:val="Style36"/>
        <w:rPr>
          <w:sz w:val="22"/>
        </w:rPr>
      </w:pPr>
      <w:r>
        <w:rPr>
          <w:sz w:val="22"/>
        </w:rPr>
        <w:t>от 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(полное и сокращенное наименование - для юридического лица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и индивидуального предпринимателя с указанием ОГРН, для физического</w:t>
      </w:r>
    </w:p>
    <w:p>
      <w:pPr>
        <w:pStyle w:val="Style36"/>
        <w:rPr>
          <w:sz w:val="22"/>
        </w:rPr>
      </w:pPr>
      <w:r>
        <w:rPr>
          <w:sz w:val="22"/>
        </w:rPr>
        <w:t>лица - Ф.И.О. с указанием данных документа, удостоверяющего его личность)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заявление  о  предоставлении в пользование  водного объекта или его части</w:t>
      </w:r>
    </w:p>
    <w:p>
      <w:pPr>
        <w:pStyle w:val="Style36"/>
        <w:rPr>
          <w:sz w:val="22"/>
        </w:rPr>
      </w:pPr>
      <w:r>
        <w:rPr>
          <w:sz w:val="22"/>
        </w:rPr>
        <w:t>на основании решения о предоставлении водного объекта в пользование</w:t>
      </w:r>
    </w:p>
    <w:p>
      <w:pPr>
        <w:pStyle w:val="Style36"/>
        <w:rPr>
          <w:sz w:val="22"/>
        </w:rPr>
      </w:pPr>
      <w:r>
        <w:rPr>
          <w:sz w:val="22"/>
        </w:rPr>
        <w:t>(от                             ) и прилагаемые к нему документы согласно</w:t>
      </w:r>
    </w:p>
    <w:p>
      <w:pPr>
        <w:pStyle w:val="Style36"/>
        <w:rPr>
          <w:sz w:val="22"/>
        </w:rPr>
      </w:pPr>
      <w:r>
        <w:rPr>
          <w:sz w:val="22"/>
        </w:rPr>
        <w:t>"_____" ___________ 20__г. вх. N___ описи.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</w:t>
      </w:r>
      <w:r>
        <w:rPr>
          <w:sz w:val="22"/>
        </w:rPr>
        <w:t>(дата и входящий номер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соответствующего заявления)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Приложение: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1. Копия заполненной описи документов и материалов, необходимых  для</w:t>
      </w:r>
    </w:p>
    <w:p>
      <w:pPr>
        <w:pStyle w:val="Style36"/>
        <w:rPr>
          <w:sz w:val="22"/>
        </w:rPr>
      </w:pPr>
      <w:r>
        <w:rPr>
          <w:sz w:val="22"/>
        </w:rPr>
        <w:t>предоставления водного объекта или  его  части  на  основании  решения  о</w:t>
      </w:r>
    </w:p>
    <w:p>
      <w:pPr>
        <w:pStyle w:val="Style36"/>
        <w:rPr>
          <w:sz w:val="22"/>
        </w:rPr>
      </w:pPr>
      <w:r>
        <w:rPr>
          <w:sz w:val="22"/>
        </w:rPr>
        <w:t>предоставлении водного объекта в пользование.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М.П.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     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(лицо, ответственное за прием и                   (подпись)</w:t>
      </w:r>
    </w:p>
    <w:p>
      <w:pPr>
        <w:pStyle w:val="Style36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регистрацию документов в уполномоченном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</w:t>
      </w:r>
      <w:r>
        <w:rPr>
          <w:sz w:val="22"/>
        </w:rPr>
        <w:t>органе)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1</Pages>
  <Words>217</Words>
  <Characters>1650</Characters>
  <CharactersWithSpaces>2259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2021-03-16T10:11:34Z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