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32"/>
        </w:rPr>
      </w:pPr>
      <w:r>
        <w:rPr>
          <w:sz w:val="32"/>
          <w:szCs w:val="32"/>
        </w:rPr>
      </w:r>
      <w:r/>
      <w:r>
        <w:rPr>
          <w:b/>
          <w:sz w:val="28"/>
          <w:szCs w:val="32"/>
        </w:rPr>
        <w:t xml:space="preserve">ДОКЛАД </w:t>
      </w:r>
      <w:r>
        <w:rPr>
          <w:b/>
          <w:sz w:val="28"/>
          <w:szCs w:val="32"/>
        </w:rPr>
      </w:r>
      <w:r/>
    </w:p>
    <w:p>
      <w:pPr>
        <w:jc w:val="center"/>
      </w:pPr>
      <w:r>
        <w:rPr>
          <w:b/>
          <w:sz w:val="28"/>
          <w:szCs w:val="32"/>
        </w:rPr>
        <w:t xml:space="preserve"> О ЛИЦЕНЗИРОВАНИИ ДЕЯТЕЛЬНОСТИ ПО ЗАГОТОВКЕ, ХРАНЕНИЮ, ПЕРЕРАБОТКЕ И РЕАЛИЗАЦИИ ЛОМА ЧЕРНЫХ МЕТАЛЛОВ, ЦВЕТНЫХ МЕТАЛЛОВ </w:t>
      </w:r>
      <w:r>
        <w:rPr>
          <w:b/>
          <w:sz w:val="28"/>
          <w:szCs w:val="32"/>
        </w:rPr>
      </w:r>
      <w:r/>
    </w:p>
    <w:p>
      <w:pPr>
        <w:jc w:val="center"/>
      </w:pPr>
      <w:r>
        <w:rPr>
          <w:b/>
          <w:sz w:val="28"/>
          <w:szCs w:val="32"/>
        </w:rPr>
        <w:t xml:space="preserve">ЗА 2023 ГОД</w:t>
      </w:r>
      <w:bookmarkStart w:id="0" w:name="_GoBack"/>
      <w:r>
        <w:rPr>
          <w:b/>
          <w:sz w:val="28"/>
        </w:rPr>
      </w:r>
      <w:bookmarkEnd w:id="0"/>
      <w:r/>
      <w:r/>
    </w:p>
    <w:p>
      <w:r/>
      <w:r/>
    </w:p>
    <w:p>
      <w:pPr>
        <w:pStyle w:val="556"/>
        <w:ind w:firstLine="708"/>
        <w:jc w:val="both"/>
        <w:rPr>
          <w:szCs w:val="32"/>
        </w:rPr>
      </w:pPr>
      <w:r/>
      <w:r/>
      <w:r>
        <w:rPr>
          <w:sz w:val="32"/>
          <w:szCs w:val="32"/>
        </w:rPr>
      </w:r>
      <w:r>
        <w:rPr>
          <w:sz w:val="28"/>
          <w:szCs w:val="28"/>
        </w:rPr>
        <w:t xml:space="preserve">Настоящий доклад подготовлен в соответствии с Федеральным законом от 4 мая 2011 года № 99-ФЗ «О лицензировании отдельных видов деятельности» (далее — Закон № 99-ФЗ) и постановлением Правительства</w:t>
      </w:r>
      <w:r>
        <w:rPr>
          <w:sz w:val="28"/>
          <w:szCs w:val="28"/>
        </w:rPr>
        <w:t xml:space="preserve"> Российской Федерации от 5 мая 2012 года № 467 «О проведении мониторинга и оценки эффективности лицензирования конкретных видов деятельности» (вместе с «Правилами проведения мониторинга и оценки эффективности лицензирования конкретных видов деятельности»).</w:t>
      </w:r>
      <w:r>
        <w:rPr>
          <w:szCs w:val="32"/>
        </w:rPr>
      </w:r>
      <w:r/>
    </w:p>
    <w:p>
      <w:pPr>
        <w:pStyle w:val="556"/>
        <w:jc w:val="both"/>
      </w:pPr>
      <w:r>
        <w:rPr>
          <w:sz w:val="28"/>
          <w:szCs w:val="28"/>
        </w:rPr>
        <w:tab/>
        <w:t xml:space="preserve">При подготовке доклада, а также при проведении анализа и</w:t>
      </w:r>
      <w:r>
        <w:rPr>
          <w:sz w:val="28"/>
          <w:szCs w:val="28"/>
        </w:rPr>
        <w:t xml:space="preserve"> оценки эффективности лицензирования использованы результаты деятельности Министерства природных ресурсов Курской области при осуществлении лицензирования деятельности по заготовке, хранению, переработке и реализации лома черных металлов, цветных металлов.</w:t>
      </w:r>
      <w:r/>
      <w:r/>
    </w:p>
    <w:p>
      <w:r/>
      <w:r/>
    </w:p>
    <w:p>
      <w:pPr>
        <w:jc w:val="center"/>
        <w:rPr>
          <w:sz w:val="32"/>
          <w:szCs w:val="32"/>
        </w:rPr>
        <w:pBdr>
          <w:left w:val="single" w:sz="4" w:space="4" w:color="auto"/>
          <w:top w:val="single" w:sz="4" w:space="1" w:color="auto"/>
          <w:right w:val="single" w:sz="4" w:space="4" w:color="auto"/>
          <w:bottom w:val="single" w:sz="4" w:space="1" w:color="auto"/>
        </w:pBdr>
      </w:pPr>
      <w:r>
        <w:rPr>
          <w:sz w:val="32"/>
          <w:szCs w:val="32"/>
        </w:rPr>
        <w:t xml:space="preserve">Раздел 1.</w:t>
      </w:r>
      <w:r/>
      <w:r>
        <w:rPr>
          <w:sz w:val="32"/>
          <w:szCs w:val="32"/>
        </w:rPr>
      </w:r>
      <w:r>
        <w:rPr>
          <w:sz w:val="28"/>
          <w:szCs w:val="28"/>
        </w:rPr>
      </w:r>
      <w:r/>
    </w:p>
    <w:p>
      <w:pPr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color w:val="22272F"/>
          <w:sz w:val="28"/>
          <w:szCs w:val="32"/>
        </w:rPr>
      </w:pPr>
      <w:r>
        <w:rPr>
          <w:sz w:val="32"/>
          <w:szCs w:val="32"/>
        </w:rPr>
      </w:r>
      <w:r>
        <w:rPr>
          <w:rFonts w:ascii="Times New Roman" w:hAnsi="Times New Roman" w:cs="Times New Roman" w:eastAsia="Times New Roman"/>
          <w:b/>
          <w:color w:val="22272F"/>
          <w:sz w:val="28"/>
          <w:highlight w:val="white"/>
        </w:rPr>
        <w:t xml:space="preserve">Информация о состоянии нормативно-правового регулирования в области лицензирования конкретных видов деятельности (данные анализа нормативных правовых актов, регламентирующих деятельность лицензирующих органов и их должностных лиц по осуществлению лицензиро</w:t>
      </w:r>
      <w:r>
        <w:rPr>
          <w:rFonts w:ascii="Times New Roman" w:hAnsi="Times New Roman" w:cs="Times New Roman" w:eastAsia="Times New Roman"/>
          <w:b/>
          <w:color w:val="22272F"/>
          <w:sz w:val="28"/>
          <w:highlight w:val="white"/>
        </w:rPr>
        <w:t xml:space="preserve">вания отдельных видов деятельности, конкретизирующих содержание лицензионных требований, устанавливающих формы документов, используемых при лицензировании, а также сведения об опубликовании указанных нормативных правовых актов на официальном сайте лицензир</w:t>
      </w:r>
      <w:r>
        <w:rPr>
          <w:rFonts w:ascii="Times New Roman" w:hAnsi="Times New Roman" w:cs="Times New Roman" w:eastAsia="Times New Roman"/>
          <w:b/>
          <w:color w:val="22272F"/>
          <w:sz w:val="28"/>
          <w:highlight w:val="white"/>
        </w:rPr>
        <w:t xml:space="preserve">ующего органа в информационно-телекоммуникационной сети "Интернет")</w:t>
      </w:r>
      <w:r>
        <w:rPr>
          <w:rFonts w:ascii="Times New Roman" w:hAnsi="Times New Roman" w:cs="Times New Roman" w:eastAsia="Times New Roman"/>
          <w:b/>
          <w:sz w:val="28"/>
          <w:szCs w:val="32"/>
        </w:rPr>
      </w:r>
      <w:r/>
    </w:p>
    <w:p>
      <w:pPr>
        <w:jc w:val="center"/>
        <w:rPr>
          <w:sz w:val="32"/>
          <w:szCs w:val="32"/>
        </w:rPr>
      </w:pPr>
      <w:r>
        <w:rPr>
          <w:rFonts w:ascii="Times New Roman" w:hAnsi="Times New Roman" w:cs="Times New Roman" w:eastAsia="Times New Roman"/>
          <w:b/>
          <w:color w:val="22272F"/>
          <w:sz w:val="28"/>
        </w:rPr>
      </w:r>
      <w:r>
        <w:rPr>
          <w:rFonts w:ascii="Times New Roman" w:hAnsi="Times New Roman" w:cs="Times New Roman" w:eastAsia="Times New Roman"/>
          <w:b/>
          <w:color w:val="22272F"/>
          <w:sz w:val="28"/>
        </w:rPr>
      </w:r>
    </w:p>
    <w:p>
      <w:pPr>
        <w:ind w:firstLine="708"/>
        <w:jc w:val="both"/>
        <w:rPr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/>
      <w:r>
        <w:rPr>
          <w:sz w:val="28"/>
          <w:szCs w:val="28"/>
        </w:rPr>
        <w:t xml:space="preserve">Лицензирование деятельности по заготовке, хранению, переработке и реализации лома черных и цветных металл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 на территории Курской области в рамках переданных полномочий региональным исполнительным органам власти в соответствии с Постановлением Губернатора Курской области от 19.09.2022 № 261-пг «Об утверждении структуры исполнительных органов Курской области». </w:t>
      </w:r>
      <w:r/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28"/>
        </w:rPr>
        <w:tab/>
        <w:t xml:space="preserve">Министерство природных ресурсов Курской области (далее - Министерство) входит в структуру Правительства Курской области и непосредственно подчинен Первому заместителю Губернатора Курской области — Председателю Правительства Курской области.</w:t>
      </w:r>
      <w:r/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28"/>
        </w:rPr>
        <w:tab/>
        <w:t xml:space="preserve">Мини</w:t>
      </w:r>
      <w:r>
        <w:rPr>
          <w:sz w:val="28"/>
          <w:szCs w:val="28"/>
        </w:rPr>
        <w:t xml:space="preserve">стерство осуществляет свою деятельность на основании Положения, утвержденного Постановлением Губернатора Курской области от 07.12.2022 № 400-пг «Об утверждении Положения о Министерстве природных ресурсов Курской области».</w:t>
      </w:r>
      <w:r/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28"/>
        </w:rPr>
        <w:tab/>
        <w:t xml:space="preserve">По состоянию на 1 января 2024 года на территории Курской области лицензируемый вид деятельности по заготовке, хранению, переработке и реализации лома черных металлов, цветных металлов осуществляли 9</w:t>
      </w:r>
      <w:r>
        <w:rPr>
          <w:rFonts w:cs="Lohit Devanagari" w:eastAsia="WenQuanYi Zen Hei Sharp"/>
          <w:color w:val="auto"/>
          <w:sz w:val="28"/>
          <w:szCs w:val="28"/>
          <w:lang w:val="ru-RU" w:bidi="hi-IN" w:eastAsia="zh-CN"/>
        </w:rPr>
        <w:t xml:space="preserve">5</w:t>
      </w:r>
      <w:r>
        <w:rPr>
          <w:sz w:val="28"/>
          <w:szCs w:val="28"/>
        </w:rPr>
        <w:t xml:space="preserve"> юридическое лицо и 5 индивидуальных предпринимателей.</w:t>
      </w:r>
      <w:r/>
      <w:r/>
    </w:p>
    <w:p>
      <w:pPr>
        <w:pStyle w:val="556"/>
      </w:pPr>
      <w:r>
        <w:rPr>
          <w:sz w:val="28"/>
          <w:szCs w:val="28"/>
        </w:rPr>
        <w:tab/>
        <w:t xml:space="preserve">За 2023 год Министерством было рассмотрено 44 заявления, которые поступили через Единый портал государственных и муниципальных услуг.</w:t>
      </w:r>
      <w:r/>
      <w:r/>
    </w:p>
    <w:p>
      <w:r>
        <w:rPr>
          <w:sz w:val="32"/>
          <w:szCs w:val="32"/>
        </w:rPr>
      </w:r>
      <w:r/>
      <w:r/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bCs w:val="false"/>
          <w:sz w:val="28"/>
          <w:szCs w:val="28"/>
        </w:rPr>
      </w:r>
      <w:r>
        <w:rPr>
          <w:b w:val="false"/>
          <w:sz w:val="28"/>
          <w:szCs w:val="28"/>
        </w:rPr>
      </w:r>
      <w:r/>
    </w:p>
    <w:p>
      <w:pPr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</w:pPr>
      <w:r>
        <w:rPr>
          <w:b/>
          <w:bCs w:val="false"/>
          <w:sz w:val="28"/>
          <w:szCs w:val="28"/>
        </w:rPr>
        <w:t xml:space="preserve">Основные показатели лицензирования</w:t>
      </w:r>
      <w:r>
        <w:rPr>
          <w:b/>
        </w:rPr>
      </w:r>
      <w:r/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tbl>
      <w:tblPr>
        <w:tblW w:w="8685" w:type="dxa"/>
        <w:tblInd w:w="706" w:type="dxa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310"/>
        <w:gridCol w:w="1980"/>
        <w:gridCol w:w="1395"/>
      </w:tblGrid>
      <w:tr>
        <w:trPr/>
        <w:tc>
          <w:tcPr>
            <w:shd w:val="clear" w:color="auto" w:fill="FFFFFF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W w:w="531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Наименование показателя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top w:val="single" w:color="000000" w:sz="2" w:space="0"/>
              <w:bottom w:val="single" w:color="000000" w:sz="2" w:space="0"/>
            </w:tcBorders>
            <w:tcW w:w="198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2022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1395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2023</w:t>
            </w: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5310" w:type="dxa"/>
            <w:textDirection w:val="lrTb"/>
            <w:noWrap w:val="false"/>
          </w:tcPr>
          <w:p>
            <w:pPr>
              <w:pStyle w:val="556"/>
            </w:pPr>
            <w:r>
              <w:rPr>
                <w:sz w:val="22"/>
                <w:szCs w:val="22"/>
              </w:rPr>
              <w:t xml:space="preserve">Количество рассмотренных заявлений, всего 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98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43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1395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44</w:t>
            </w: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5310" w:type="dxa"/>
            <w:textDirection w:val="lrTb"/>
            <w:noWrap w:val="false"/>
          </w:tcPr>
          <w:p>
            <w:pPr>
              <w:pStyle w:val="556"/>
            </w:pPr>
            <w:r>
              <w:rPr>
                <w:sz w:val="22"/>
                <w:szCs w:val="22"/>
              </w:rPr>
              <w:t xml:space="preserve">Количество рассмотренных заявлений о предоставлении лицензии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98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16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1395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5310" w:type="dxa"/>
            <w:textDirection w:val="lrTb"/>
            <w:noWrap w:val="false"/>
          </w:tcPr>
          <w:p>
            <w:pPr>
              <w:pStyle w:val="556"/>
            </w:pPr>
            <w:r>
              <w:rPr>
                <w:rFonts w:cs="Lohit Devanagari" w:eastAsia="WenQuanYi Zen Hei Sharp"/>
                <w:color w:val="auto"/>
                <w:sz w:val="22"/>
                <w:szCs w:val="22"/>
                <w:lang w:val="ru-RU" w:bidi="hi-IN" w:eastAsia="zh-CN"/>
              </w:rPr>
              <w:t xml:space="preserve">и</w:t>
            </w:r>
            <w:r>
              <w:rPr>
                <w:sz w:val="22"/>
                <w:szCs w:val="22"/>
              </w:rPr>
              <w:t xml:space="preserve">з них, по которым принято решение об отказе в предоставлении лицензии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98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10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1395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5310" w:type="dxa"/>
            <w:textDirection w:val="lrTb"/>
            <w:noWrap w:val="false"/>
          </w:tcPr>
          <w:p>
            <w:pPr>
              <w:pStyle w:val="556"/>
            </w:pPr>
            <w:r>
              <w:rPr>
                <w:sz w:val="22"/>
                <w:szCs w:val="22"/>
              </w:rPr>
              <w:t xml:space="preserve">Количество рассмотренных заявлений о внесении изменений в реестр лицензий (переоформлении)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98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22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1395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29</w:t>
            </w: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5310" w:type="dxa"/>
            <w:textDirection w:val="lrTb"/>
            <w:noWrap w:val="false"/>
          </w:tcPr>
          <w:p>
            <w:pPr>
              <w:pStyle w:val="556"/>
            </w:pPr>
            <w:r>
              <w:rPr>
                <w:rFonts w:cs="Lohit Devanagari" w:eastAsia="WenQuanYi Zen Hei Sharp"/>
                <w:color w:val="auto"/>
                <w:sz w:val="22"/>
                <w:szCs w:val="22"/>
                <w:lang w:val="ru-RU" w:bidi="hi-IN" w:eastAsia="zh-CN"/>
              </w:rPr>
              <w:t xml:space="preserve">и</w:t>
            </w:r>
            <w:r>
              <w:rPr>
                <w:sz w:val="22"/>
                <w:szCs w:val="22"/>
              </w:rPr>
              <w:t xml:space="preserve">з них, по которым принято решение об отказе во внесении изменений в реестр лицензий (переоформление)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98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2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1395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6</w:t>
            </w: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5310" w:type="dxa"/>
            <w:textDirection w:val="lrTb"/>
            <w:noWrap w:val="false"/>
          </w:tcPr>
          <w:p>
            <w:pPr>
              <w:pStyle w:val="556"/>
            </w:pPr>
            <w:r>
              <w:rPr>
                <w:sz w:val="22"/>
                <w:szCs w:val="22"/>
              </w:rPr>
              <w:t xml:space="preserve">Количество рассмотренных заявлений о прекращении действия лицензии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98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1395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1</w:t>
            </w: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5310" w:type="dxa"/>
            <w:textDirection w:val="lrTb"/>
            <w:noWrap w:val="false"/>
          </w:tcPr>
          <w:p>
            <w:pPr>
              <w:pStyle w:val="556"/>
            </w:pPr>
            <w:r>
              <w:rPr>
                <w:sz w:val="22"/>
                <w:szCs w:val="22"/>
              </w:rPr>
              <w:t xml:space="preserve">Прекращено действие лицензий по сведениям из ФНС России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98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0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1395" w:type="dxa"/>
            <w:textDirection w:val="lrTb"/>
            <w:noWrap w:val="false"/>
          </w:tcPr>
          <w:p>
            <w:pPr>
              <w:pStyle w:val="556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 xml:space="preserve">0</w:t>
            </w:r>
            <w:r>
              <w:rPr>
                <w:highlight w:val="yellow"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5310" w:type="dxa"/>
            <w:textDirection w:val="lrTb"/>
            <w:noWrap w:val="false"/>
          </w:tcPr>
          <w:p>
            <w:pPr>
              <w:pStyle w:val="556"/>
            </w:pPr>
            <w:r>
              <w:rPr>
                <w:sz w:val="22"/>
                <w:szCs w:val="22"/>
              </w:rPr>
              <w:t xml:space="preserve">Предоставление сведений из реестра лицензий в виде выписки (справки)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98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12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1395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7</w:t>
            </w:r>
            <w:r/>
            <w:r/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5310" w:type="dxa"/>
            <w:textDirection w:val="lrTb"/>
            <w:noWrap w:val="false"/>
          </w:tcPr>
          <w:p>
            <w:pPr>
              <w:pStyle w:val="556"/>
            </w:pPr>
            <w:r>
              <w:rPr>
                <w:sz w:val="22"/>
                <w:szCs w:val="22"/>
              </w:rPr>
              <w:t xml:space="preserve">Общее количество действующих лицензиатов (на конец отчетного периода)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980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97</w:t>
            </w:r>
            <w:r/>
            <w:r/>
          </w:p>
        </w:tc>
        <w:tc>
          <w:tcPr>
            <w:shd w:val="clear" w:color="auto" w:fill="FFFFFF"/>
            <w:tcBorders>
              <w:left w:val="single" w:color="000000" w:sz="2" w:space="0"/>
              <w:right w:val="single" w:color="000000" w:sz="2" w:space="0"/>
              <w:bottom w:val="single" w:color="000000" w:sz="2" w:space="0"/>
            </w:tcBorders>
            <w:tcW w:w="1395" w:type="dxa"/>
            <w:textDirection w:val="lrTb"/>
            <w:noWrap w:val="false"/>
          </w:tcPr>
          <w:p>
            <w:pPr>
              <w:pStyle w:val="556"/>
              <w:jc w:val="center"/>
            </w:pPr>
            <w:r>
              <w:rPr>
                <w:sz w:val="22"/>
                <w:szCs w:val="22"/>
              </w:rPr>
              <w:t xml:space="preserve">100</w:t>
            </w:r>
            <w:r/>
            <w:r/>
          </w:p>
        </w:tc>
      </w:tr>
    </w:tbl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28"/>
        </w:rPr>
        <w:tab/>
        <w:t xml:space="preserve">Порядок предоставления государственной услуги определен административным регламентом</w:t>
      </w:r>
      <w:r>
        <w:rPr>
          <w:sz w:val="28"/>
          <w:szCs w:val="28"/>
        </w:rPr>
        <w:t xml:space="preserve"> комитета природных ресурсов Курской области по предоставлению государственной услуги «Лицензирование заготовки, хранения, переработки и реализации лома черных металлов, цветных металлов», утвержденным приказом комитета от 23 декабря 2021 года № 01-08/899.</w:t>
      </w:r>
      <w:r>
        <w:rPr>
          <w:sz w:val="28"/>
          <w:szCs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28"/>
        </w:rPr>
        <w:tab/>
        <w:t xml:space="preserve">В связи с переходом на реест</w:t>
      </w:r>
      <w:r>
        <w:rPr>
          <w:sz w:val="28"/>
          <w:szCs w:val="28"/>
        </w:rPr>
        <w:t xml:space="preserve">ровую модель с сентября 2021 года все процедуры лицензирования Министерство осуществляет посредством использования государственной информационной системы «Типовое облачное решение по автоматизации контрольной (надзорной) деятельности» (далее - ГИС ТОР КНД)</w:t>
      </w:r>
      <w:r/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</w:rPr>
      </w:pPr>
      <w:r>
        <w:rPr>
          <w:b w:val="false"/>
          <w:bCs w:val="false"/>
          <w:sz w:val="28"/>
          <w:szCs w:val="28"/>
        </w:rPr>
        <w:tab/>
        <w:t xml:space="preserve">В соответствии с Положением о лицензировании деятельности </w:t>
      </w:r>
      <w:r>
        <w:rPr>
          <w:b w:val="false"/>
          <w:bCs w:val="false"/>
          <w:sz w:val="28"/>
          <w:szCs w:val="28"/>
        </w:rPr>
        <w:t xml:space="preserve">по заготовке, хранению, переработке и реализации лома черных и цветных металлов, утвержденным постановлением Правительства Российской Федерации от 28 мая 2022 года № 980 «О некоторых вопросах лицензирования деятельности по заготовке, хранению, переработке </w:t>
      </w:r>
      <w:r>
        <w:rPr>
          <w:b w:val="false"/>
          <w:bCs w:val="false"/>
          <w:sz w:val="28"/>
          <w:szCs w:val="28"/>
        </w:rPr>
        <w:t xml:space="preserve">и реализации лома черных и цветных металлов, а также обращения с ломом и отходами черных и цветных металлов и их отчуждения» с 1 сентября 2022 года заявления о предоставлении лицензии, внесении изменений в реестр лицензий, прекращении действия лицензии и п</w:t>
      </w:r>
      <w:r>
        <w:rPr>
          <w:b w:val="false"/>
          <w:bCs w:val="false"/>
          <w:sz w:val="28"/>
          <w:szCs w:val="28"/>
        </w:rPr>
        <w:t xml:space="preserve">редоставлении сведений о конкретной лицензии представляются соискателями лицензий и лицензиатами только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/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/>
      <w:r>
        <w:rPr>
          <w:sz w:val="28"/>
          <w:szCs w:val="28"/>
        </w:rPr>
        <w:t xml:space="preserve">Исполнение возложенных на министерство в 2023 году осуществлялось </w:t>
      </w:r>
      <w:r>
        <w:rPr>
          <w:sz w:val="28"/>
          <w:szCs w:val="28"/>
        </w:rPr>
        <w:t xml:space="preserve">в соответствии с:</w:t>
      </w:r>
      <w:r/>
      <w:r/>
    </w:p>
    <w:p>
      <w:pPr>
        <w:ind w:firstLine="70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1.Федеральным законом от 4 мая 2011 г. № 99-ФЗ «О лицензировании отдельных видов деятельности»;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405"/>
        <w:ind w:firstLine="708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2. Федеральный закон от 24 июня 1998 года № 89-ФЗ «Об отходах производства и потребления»;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405"/>
        <w:ind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3.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405"/>
        <w:ind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4. Федеральным законом от 31 июля 2020 г. № 248-ФЗ «</w:t>
      </w:r>
      <w:r>
        <w:rPr>
          <w:rFonts w:ascii="Times New Roman" w:hAnsi="Times New Roman"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 государственном контроле (надзоре) и муниципальном контроле в Российской Федерации";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color w:val="00000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5. Федеральным законом от 27 июля 2010 г. № 210-ФЗ «Об организации представления государственных и муниципальных услуг»;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6. Постановлением Правительства российской Федерации от 29 декабря 2020 года № 2343 «Об утверждении правил формирования и ведения реестра лицензий и типовой формы выписки из реестра лицензий»;</w:t>
      </w:r>
      <w:r/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7. Постановлением Правительства Российской Федерации от 21 ноября 2011 г. № 957 «Об организации лицензирования отдельных видов деятельности»;</w:t>
      </w:r>
      <w:r/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color w:val="00000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8. Постановлением Правительством Российской Федерации от 28 мая 2022 г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(вступило в силу 1 сентября 2022 г.);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9. Постановлением Губернатора </w:t>
      </w:r>
      <w:r>
        <w:rPr>
          <w:rFonts w:cs="Lohit Devanagari" w:eastAsia="WenQuanYi Zen Hei Sharp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hi-IN" w:eastAsia="zh-CN"/>
        </w:rPr>
        <w:t xml:space="preserve">К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урской области от 7 октября 2020 г. № 299-пг «Об утверждении Положения о комитете природных ресурсов Курской области»;</w:t>
      </w:r>
      <w:r/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10. Административным регламентом по предоставлению государственной услуги «Лицензирование заготовки, хранения, переработки и реализации лома черных и цветных металлов», утвержденным приказом комитета от 23 декабря 2021 г. № 01-08/899.</w:t>
      </w:r>
      <w:r/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Анализ сложи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вшейся на конец 2023 года нормативно-правовой базы, в части регулирования лицензионной деятельности в целом, и в сфере обращения с ломом и отходами черных и цветных металлов, в частности, позволяет министерству реализовывать предоставленные ему полномочия.</w:t>
      </w:r>
      <w:r/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color w:val="00000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Вместе с тем, из сложившейся практики, в части реализации требований и положений, установленных постановлением Правительства Российской Федерации от 28 мая 2022 года № 980 «О некоторых вопр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имеется ряд вопросов, на которые необходимо обратить внимание.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color w:val="00000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Предложения по совершенствованию нормативно-правового регулирования в сфере лицензионной деятельности по заготовке, хранению, переработке и реализации лома черных и цветных металлов приведены в соответствующем разделе настоящего доклада.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color w:val="00000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Также стоит отметить, что в настоящее время практически отсутствует какая либо единая методическая поддержка лицензирующих органов по вопросам, возникающим при реализации требований Поло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жения. Разъяснения и рекомендации со стороны Министерства промышленности и торговли Российской Федерации (далее- Минпромторг РФ) даются не в общих обзорах, что было бы намного удобнее, а локально, в ответ на каждый запрос конкретного лицензирующего органа.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  <w:szCs w:val="32"/>
        </w:rPr>
      </w:pPr>
      <w:r/>
      <w:r>
        <w:rPr>
          <w:sz w:val="28"/>
        </w:rPr>
        <w:t xml:space="preserve">Перечень лицензионных требований к осуществлению заготовки, хранения, пере</w:t>
      </w:r>
      <w:r>
        <w:rPr>
          <w:sz w:val="28"/>
        </w:rPr>
        <w:t xml:space="preserve">работки и реализации лома черных и цветных металлов установлен пунктом 5 Положения о лицензировании деятельности по заготовке, хранению, переработке и реализации лома черных и цветных металлов, утвержденного постановлением Правительства Российской Федераци</w:t>
      </w:r>
      <w:r>
        <w:rPr>
          <w:sz w:val="28"/>
        </w:rPr>
        <w:t xml:space="preserve">и от 28 мая 2022 года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(далее-Положение)</w:t>
      </w:r>
      <w:r/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</w:rPr>
        <w:tab/>
        <w:t xml:space="preserve">Состав, содержание и полнота установленных лицензионных требований в целом позволяет выполнять лицензирующим органом сво</w:t>
      </w:r>
      <w:r>
        <w:rPr>
          <w:sz w:val="28"/>
        </w:rPr>
        <w:t xml:space="preserve">и основные задачи. Вместе с тем, ряд требований уточнения в рамках методических рекомендаций со стороны Минпромторга России с целью их единообразного толкования, применению в своей практической деятельности и доведения до соискателя лицензий (лицензиатов).</w:t>
      </w:r>
      <w:r>
        <w:rPr>
          <w:sz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</w:rPr>
        <w:tab/>
        <w:t xml:space="preserve">Предложения по совершенствованию нормативно-правового регулирования в сфере лицензионной деятельности по заготовке, хранению, переработке и реализации лома черных и цветных металлов приведены в соответствующем разделе настоящего доклада.</w:t>
      </w:r>
      <w:r>
        <w:rPr>
          <w:sz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b w:val="false"/>
          <w:sz w:val="28"/>
          <w:szCs w:val="32"/>
        </w:rPr>
      </w:pPr>
      <w:r/>
      <w:r>
        <w:rPr>
          <w:b w:val="false"/>
          <w:sz w:val="28"/>
        </w:rPr>
        <w:t xml:space="preserve">Действующими нормативными правовыми актами, принятыми на федеральном уровне, формы документов, используемые при лицензировании деятельности по заготовке, хранению, переработке и реализации лома черных и цветных металлов, не установлены.</w:t>
      </w:r>
      <w:r/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sz w:val="28"/>
        </w:rPr>
        <w:tab/>
        <w:t xml:space="preserve">В соответствии с частью 2 статьи 5 Федерального закона «О лицензировании отдельных видов деятельности» к полномочиям лицензирующих органов, в том числе, относятся утверждение форм заявлений о предоставлении лицензий, о внесении изменений в реестр ли</w:t>
      </w:r>
      <w:r>
        <w:rPr>
          <w:b w:val="false"/>
          <w:sz w:val="28"/>
        </w:rPr>
        <w:t xml:space="preserve">цензий, о проведении периодического подтверждения соответствия лицензиата лицензионным требованиям, а также форм уведомлений, предписаний об устранении выявленных нарушений лицензионных требований и других используемых в процессе лицензирования документов.</w:t>
      </w:r>
      <w:r>
        <w:rPr>
          <w:b w:val="false"/>
          <w:sz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sz w:val="28"/>
        </w:rPr>
        <w:tab/>
        <w:t xml:space="preserve">Приказом Министерства от 18 марта 2022 года №01-08/137 утверждены типовые формы документов, используемых при осуществлении лицензирования деятельности по заготовке, хранению, переработке и реализации лома черных металлов, цветных металлов. </w:t>
      </w:r>
      <w:r>
        <w:rPr>
          <w:b w:val="false"/>
          <w:sz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sz w:val="28"/>
        </w:rPr>
        <w:tab/>
        <w:t xml:space="preserve">Также в соответствии с требованиями части 8 статьи 19.1 Федерального закона «О лицензировании отдельных видов деятельности», приказом Министерства от 08.028.2022 года № 01-08/397, утверждена форма оценочного листа, содержащего список</w:t>
      </w:r>
      <w:r>
        <w:rPr>
          <w:b w:val="false"/>
          <w:sz w:val="28"/>
        </w:rPr>
        <w:t xml:space="preserve"> контрольных вопросов, ответы на которые должны свидетельствовать о соответствии соискателя лицензии, лицензиата лицензионным требованиям и который используется при проведении оценки соответствия соискателя лицензии или лицензиата лицензионным требованиям.</w:t>
      </w:r>
      <w:r>
        <w:rPr>
          <w:b w:val="false"/>
          <w:sz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sz w:val="28"/>
        </w:rPr>
        <w:tab/>
        <w:t xml:space="preserve">Какие либо типовые формы данных документов, на основании которых лицензирующими органами должны быть утверждены свои формы документов, федеральные органы не разрабатывали, в связи с чем, утвержденные регионами формы не отличаются своей однообразностью.</w:t>
      </w:r>
      <w:r>
        <w:rPr>
          <w:b w:val="false"/>
          <w:sz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sz w:val="28"/>
        </w:rPr>
        <w:tab/>
        <w:t xml:space="preserve">В связи с тем, что с 1 сентября 2022 года лицензирование деятельности по заготовке, хранению, перераб</w:t>
      </w:r>
      <w:r>
        <w:rPr>
          <w:b w:val="false"/>
          <w:sz w:val="28"/>
        </w:rPr>
        <w:t xml:space="preserve">отке и реализации лома черных и цветных металлов, в том числе, ведение реестра лицензий, осуществляется лицензирующими органами посредством использования государственной информационной системы «Типовое облачное решение по автоматизации контрольной (надзорн</w:t>
      </w:r>
      <w:r>
        <w:rPr>
          <w:b w:val="false"/>
          <w:sz w:val="28"/>
        </w:rPr>
        <w:t xml:space="preserve">ой) деятельности (далее - ГИС ТОР КНД), разработчиками при внедрении ГИС ТОР КНД в промышленную эксплуатацию уже были предусмотрены соответствующие формы документов, которые в настоящее время используются при лицензировании в рамках рассмотрения заявлений.</w:t>
      </w:r>
      <w:r>
        <w:rPr>
          <w:b w:val="false"/>
          <w:sz w:val="28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b w:val="false"/>
          <w:sz w:val="28"/>
        </w:rPr>
        <w:tab/>
        <w:t xml:space="preserve">На основании изложенного считаем целесообразным внесение изменений в</w:t>
      </w:r>
      <w:r>
        <w:rPr>
          <w:b w:val="false"/>
          <w:sz w:val="28"/>
        </w:rPr>
        <w:t xml:space="preserve"> пункт 3 части 2 статьи 5 и часть 8 статьи 19.1 Закона № 99-ФЗ на предмет нераспространения требований о необходимости утверждения форм документов лицензирующими органами, в случае, если лицензирование осуществляется с использованием информационных систем.</w:t>
      </w:r>
      <w:r>
        <w:rPr>
          <w:b w:val="false"/>
          <w:sz w:val="28"/>
        </w:rPr>
      </w:r>
      <w:r/>
    </w:p>
    <w:p>
      <w:pPr>
        <w:ind w:firstLine="708"/>
        <w:jc w:val="both"/>
        <w:rPr>
          <w:color w:val="00000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Информация о нормативных правовых актах, регулирующих сферу лицензирования деятельности по заготовке, хранени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ю, переработке и реализации лома черных металлов, цветных металлов и предоставление Государственной услуги, размещена на сайте министерства в информационно-телекоммуникационной сети «Интернет» (</w:t>
      </w:r>
      <w:r>
        <w:rPr>
          <w:sz w:val="28"/>
          <w:szCs w:val="32"/>
        </w:rPr>
        <w:t xml:space="preserve">https://priroda.kursk.ru/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лицензирование-заготовки-хранения-п/).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/>
    </w:p>
    <w:p>
      <w:pPr>
        <w:rPr>
          <w:sz w:val="32"/>
          <w:szCs w:val="32"/>
        </w:rPr>
      </w:pPr>
      <w:r/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sz w:val="32"/>
          <w:szCs w:val="32"/>
        </w:rPr>
        <w:pBdr>
          <w:left w:val="single" w:sz="4" w:space="4" w:color="auto"/>
          <w:top w:val="single" w:sz="4" w:space="1" w:color="auto"/>
          <w:right w:val="single" w:sz="4" w:space="4" w:color="auto"/>
          <w:bottom w:val="single" w:sz="4" w:space="1" w:color="auto"/>
        </w:pBdr>
      </w:pPr>
      <w:r>
        <w:rPr>
          <w:sz w:val="32"/>
          <w:szCs w:val="32"/>
        </w:rPr>
        <w:t xml:space="preserve">Раздел 2.</w:t>
      </w:r>
      <w:r/>
    </w:p>
    <w:p>
      <w:pPr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rFonts w:ascii="Times New Roman" w:hAnsi="Times New Roman" w:cs="Times New Roman" w:eastAsia="Times New Roman"/>
          <w:b/>
          <w:color w:val="22272F"/>
          <w:sz w:val="28"/>
          <w:highlight w:val="white"/>
        </w:rPr>
        <w:t xml:space="preserve">Предложения по осуществлению лицензирования конкретных видов деятельности, по совершенствованию нормативно-правового регулирования лицензирования конкретных видов деятельности, а также при необходимости иные предложения, связанные с осуществлением лицензир</w:t>
      </w:r>
      <w:r>
        <w:rPr>
          <w:rFonts w:ascii="Times New Roman" w:hAnsi="Times New Roman" w:cs="Times New Roman" w:eastAsia="Times New Roman"/>
          <w:b/>
          <w:color w:val="22272F"/>
          <w:sz w:val="28"/>
          <w:highlight w:val="white"/>
        </w:rPr>
        <w:t xml:space="preserve">ования конкретных видов деятельности, направленные на повышение эффективности лицензирования и сокращение административных ограничений в деятельности лицензиатов, включая оценку целесообразности сохранения режима лицензирования для регулирования конкретных</w:t>
      </w:r>
      <w:r>
        <w:rPr>
          <w:rFonts w:ascii="Times New Roman" w:hAnsi="Times New Roman" w:cs="Times New Roman" w:eastAsia="Times New Roman"/>
          <w:b/>
          <w:color w:val="22272F"/>
          <w:sz w:val="28"/>
          <w:highlight w:val="white"/>
        </w:rPr>
        <w:t xml:space="preserve"> видов деятельности</w:t>
      </w:r>
      <w:r>
        <w:rPr>
          <w:rFonts w:ascii="Times New Roman" w:hAnsi="Times New Roman" w:cs="Times New Roman" w:eastAsia="Times New Roman"/>
          <w:b/>
          <w:sz w:val="28"/>
          <w:szCs w:val="32"/>
        </w:rPr>
      </w:r>
      <w:r/>
    </w:p>
    <w:p>
      <w:pPr>
        <w:rPr>
          <w:sz w:val="32"/>
          <w:szCs w:val="32"/>
        </w:rPr>
      </w:pPr>
      <w:r>
        <w:rPr>
          <w:sz w:val="32"/>
          <w:szCs w:val="32"/>
        </w:rPr>
      </w:r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28"/>
          <w:szCs w:val="32"/>
        </w:rPr>
        <w:t xml:space="preserve">По резул</w:t>
      </w:r>
      <w:r>
        <w:rPr>
          <w:sz w:val="28"/>
          <w:szCs w:val="32"/>
        </w:rPr>
        <w:t xml:space="preserve">ьтатам проведенного анализа и в рамках подготовки предложений по совершенствованию нормативно-правового регулирования Министерство обращает особое внимание на следующие вопросы, решение которых, должно стать основой для обсуждения в части внесения изменени</w:t>
      </w:r>
      <w:r>
        <w:rPr>
          <w:sz w:val="28"/>
          <w:szCs w:val="32"/>
        </w:rPr>
        <w:t xml:space="preserve">й и дополнений в действующие нормативные правовые акты, регулирующие сферу лицензирования деятельности по заготовке, хранению, переработке и реализации лома черных и цветных металлов и обращения с ломом и отходами черных и цветных металлов и их отчуждения.</w:t>
      </w:r>
      <w:r/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В постановлении Правительства Российской Федерации от 28 мая 2022 года № 980 «О некоторы</w:t>
      </w:r>
      <w:r>
        <w:rPr>
          <w:sz w:val="28"/>
          <w:szCs w:val="32"/>
        </w:rPr>
        <w:t xml:space="preserve">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предусмотреть внесение следующих изменений и дополнений.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В Положение о лицензировании деятельности по заготовке, хранению, переработке и реализации лома черных и цветных металлов: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1. О сроке направления уведомления о проведении выездной оценки.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Дополнить пункт 11 Положения абзацем, устанавливающим порядок уведомления соискателя лицензии (лицензиата) о провед</w:t>
      </w:r>
      <w:r>
        <w:rPr>
          <w:sz w:val="28"/>
          <w:szCs w:val="32"/>
        </w:rPr>
        <w:t xml:space="preserve">ении выездной оценки по аналогии с порядком, установленным частью 9 статьи 19.1 Федерального закона «О лицензировании отдельных видов деятельности» - «О проведении выездной оценки соискателя лицензии, лицензиат уведомляются лицензирующим органом не менее ч</w:t>
      </w:r>
      <w:r>
        <w:rPr>
          <w:sz w:val="28"/>
          <w:szCs w:val="32"/>
        </w:rPr>
        <w:t xml:space="preserve">ем за один рабочий день до начала ее проведения любым доступным способом, в том числе посредством направления электронного документа, подписанного усиленной квалифицированной электронной подписью, на адрес электронной почты соискателя лицензии, лицензиата.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Учитывая, что обмен информацией с заявителем в рамках рассмотрения</w:t>
      </w:r>
      <w:r>
        <w:rPr>
          <w:sz w:val="28"/>
          <w:szCs w:val="32"/>
        </w:rPr>
        <w:t xml:space="preserve"> заявлений осуществляется через его личный кабинет на портале госуслуг, проблемы с информированием заявителя о дате проведения выездной оценки не возникает. В то же время, наличие указанного требования позволит сократить срок принятия решения по заявлению.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 xml:space="preserve">Возможность сокращения срока направления уведомления предусмотрена пунктом 5(1) постановления Правительства Российской Федерации от 12 марта 2022 года № 353 «Об особенностях разрешительной деятельности в Российской Федерации».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2. Установить дифференцируемый подход к срокам рассмотрения заявлений о предоставлении лицензий, о внесении изменений в реестр лицензий, связанных</w:t>
      </w:r>
      <w:r>
        <w:rPr>
          <w:sz w:val="28"/>
          <w:szCs w:val="32"/>
        </w:rPr>
        <w:t xml:space="preserve"> с намерением лицензиата осуществлять лицензируемую деятельность по новому адресу, а также выполнять не предусмотренные реестром лицензий виды работ с учетом количества заявляемых адресов мест предполагаемого осуществления лицензируемого вида деятельности.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В настоящ</w:t>
      </w:r>
      <w:r>
        <w:rPr>
          <w:sz w:val="28"/>
          <w:szCs w:val="32"/>
        </w:rPr>
        <w:t xml:space="preserve">ее время сроки предоставления услуги «Лицензирование деятельности по заготовке, хранению, переработке и реализации лома черных металлов, цветных металлов», указанные на ЕПГУ, соответствуют требованиям действующего оптимизированного стандарта услуги в соотв</w:t>
      </w:r>
      <w:r>
        <w:rPr>
          <w:sz w:val="28"/>
          <w:szCs w:val="32"/>
        </w:rPr>
        <w:t xml:space="preserve">етствии с пунктом 9.1 постановления Правительства Российской Федерации от 30 июля 2021 г. № 1279 « О проведении на территории Российской Федерации эксперимента по оптимизации и авторизации процессов разрешительной деятельности, в том числе лицензирования».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Вместе с тем, в рамках проводимого эксперимента лицензирующие органы столкнулись с проблемой возможного нарушения установленных сроков, которые могут быть связаны с количеством заявленных адресов предполагаемых мест осуществления деятельности.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Учитывая имеющуюся практику рассмотрения заявлений, лицензирующие органы сталкиваются с большими трудностями, связанными с соблюдением установленного срока, особенно в тех случаях, когд</w:t>
      </w:r>
      <w:r>
        <w:rPr>
          <w:sz w:val="28"/>
          <w:szCs w:val="32"/>
        </w:rPr>
        <w:t xml:space="preserve">а лицензиат в заявлении указывает одновременно несколько адресов, по которым он планирует осуществлять лицензионную деятельность, в связи с чем, установленный срок в 10 рабочих дней, может быть недостаточным для принятия обоснованного решения по заявлению.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На основании изложенного Министерство предлагает установить в Положении дифференцируемые сроки рассмотрения заявления, учитывая количество заявленных объектов.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3. О возвращении процедуры документарной оценки соответствия соискателя лицензии (лицензиата) лицензионным требованиям.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Предусмотреть в пункте 11 Положения проведение документарной оценки.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В части обоснования стоит обратить внимание</w:t>
      </w:r>
      <w:r>
        <w:rPr>
          <w:sz w:val="28"/>
          <w:szCs w:val="32"/>
        </w:rPr>
        <w:t xml:space="preserve">, что в соответствии с частью 3 статьи 19.1 Федерального закона «О лицензировании отдельных видов деятельности» оценка соответствия соискателя лицензии или лицензиата лицензионным требованиям проводится в форме документарной оценки и (или) выездной оценки.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Учитывая, что частями 4 и 5 статьи 19.1 Федерального закона «О лицензировании отдельных видов деятельности» предметом докумен</w:t>
      </w:r>
      <w:r>
        <w:rPr>
          <w:sz w:val="28"/>
          <w:szCs w:val="32"/>
        </w:rPr>
        <w:t xml:space="preserve">тарной оценки являются сведения, содержащиеся в представленных заявлениях и документах, в целях оценки соответствия таких сведений положениям частей 1 и 3 статьи 13 и части 3 статьи 18 Федерального закона «О лицензировании отдельных видов деятельности», а </w:t>
      </w:r>
      <w:r>
        <w:rPr>
          <w:sz w:val="28"/>
          <w:szCs w:val="32"/>
        </w:rPr>
        <w:t xml:space="preserve">предметом выездной оценки - состояние производственных объектов, технических средств, оборудования, иных объектов, которые предполагается использовать соискателем лицензии или лицензиатом при осуществлении лицензируемого вида деятельности, и наличие необхо</w:t>
      </w:r>
      <w:r>
        <w:rPr>
          <w:sz w:val="28"/>
          <w:szCs w:val="32"/>
        </w:rPr>
        <w:t xml:space="preserve">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требованиям, документарное закрепление результатов документарной оценки в настоящее время в Положении не предусмотрено.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4. О возможности проведения выездной оценки соответствия соискателя лицензии (лицензиата) обязательным требованиям в дистанционном формате.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Дополнить Положение указанием на возможность проведения выездной оценки соответствия обязательным</w:t>
      </w:r>
      <w:r>
        <w:rPr>
          <w:sz w:val="28"/>
          <w:szCs w:val="32"/>
        </w:rPr>
        <w:t xml:space="preserve"> требованиям при предоставлении лицензии, внесении изменений в реестр лицензий на основании заявления лица, которому была предоставлена лицензия в дистанционном формате посредством использования средств фото-, аудио- и видеофиксации, видео-конференц-связи.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Данная возможность предусмотрена подпунктом «ж» пункта 4 постановления Правительства Российской Федерации от 12 марта 2022 года № 353 «Об особенностях разрешительной деятельности в Российской Федерации в 2022 и 2023 годах».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</w:pPr>
      <w:r>
        <w:rPr>
          <w:sz w:val="28"/>
          <w:szCs w:val="32"/>
        </w:rPr>
        <w:tab/>
        <w:t xml:space="preserve">5. Об указании максимального срока проведения выездной оценки соответствия соискателя лицензии (лицензиата) обязательным требованиям.</w:t>
      </w:r>
      <w:r>
        <w:rPr>
          <w:sz w:val="28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sz w:val="28"/>
          <w:szCs w:val="32"/>
        </w:rPr>
        <w:tab/>
        <w:t xml:space="preserve">Предусмотреть указание максимального срока проведения оценки соответствия лицензиата (соискателя лицензии) лицензионным требованиям, с учетом сокращения срока рассмотрения заявлений о предоставлении лицензии и внесения изменений в реестр лицензий.</w:t>
      </w:r>
      <w:r/>
      <w:r/>
      <w:r>
        <w:rPr>
          <w:sz w:val="32"/>
          <w:szCs w:val="32"/>
        </w:rPr>
      </w:r>
      <w:r/>
    </w:p>
    <w:p>
      <w:pPr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  <w:szCs w:val="32"/>
        </w:rPr>
      </w:pPr>
      <w:r>
        <w:rPr>
          <w:sz w:val="28"/>
          <w:szCs w:val="32"/>
        </w:rPr>
      </w:r>
      <w:r>
        <w:rPr>
          <w:sz w:val="28"/>
          <w:szCs w:val="32"/>
        </w:rPr>
      </w:r>
    </w:p>
    <w:p>
      <w:pPr>
        <w:jc w:val="center"/>
        <w:rPr>
          <w:sz w:val="32"/>
          <w:szCs w:val="32"/>
        </w:rPr>
        <w:pBdr>
          <w:left w:val="single" w:sz="4" w:space="4" w:color="auto"/>
          <w:top w:val="single" w:sz="4" w:space="1" w:color="auto"/>
          <w:right w:val="single" w:sz="4" w:space="4" w:color="auto"/>
          <w:bottom w:val="single" w:sz="4" w:space="1" w:color="auto"/>
        </w:pBdr>
      </w:pPr>
      <w:r>
        <w:rPr>
          <w:sz w:val="32"/>
          <w:szCs w:val="32"/>
        </w:rPr>
        <w:t xml:space="preserve">Приложения</w:t>
      </w:r>
      <w:r/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</w:r>
      <w:r/>
    </w:p>
    <w:p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  <w:lang w:val="en-US"/>
        </w:rPr>
      </w:r>
      <w:r>
        <w:rPr>
          <w:b/>
          <w:sz w:val="28"/>
          <w:szCs w:val="32"/>
          <w:lang w:val="en-US"/>
        </w:rPr>
        <w:t xml:space="preserve">Перечень </w:t>
      </w:r>
      <w:r>
        <w:rPr>
          <w:b/>
          <w:sz w:val="28"/>
          <w:szCs w:val="32"/>
        </w:rPr>
      </w:r>
      <w:r>
        <w:rPr>
          <w:b/>
          <w:sz w:val="28"/>
        </w:rPr>
      </w:r>
    </w:p>
    <w:p>
      <w:pPr>
        <w:jc w:val="center"/>
      </w:pPr>
      <w:r>
        <w:rPr>
          <w:b/>
          <w:sz w:val="28"/>
          <w:szCs w:val="32"/>
          <w:lang w:val="en-US"/>
        </w:rPr>
        <w:t xml:space="preserve">критериев оценки эффективности лицензирования деятельности по заготовке, хранению, переработке и реализации лома черных металлов, цветных металлов</w:t>
      </w:r>
      <w:r>
        <w:rPr>
          <w:sz w:val="28"/>
          <w:szCs w:val="32"/>
        </w:rPr>
      </w:r>
      <w:r/>
    </w:p>
    <w:p>
      <w:pPr>
        <w:rPr>
          <w:lang w:val="en-US"/>
        </w:rPr>
      </w:pPr>
      <w:r>
        <w:rPr>
          <w:sz w:val="32"/>
          <w:szCs w:val="32"/>
          <w:lang w:val="en-US"/>
        </w:rPr>
      </w:r>
      <w:r>
        <w:rPr>
          <w:sz w:val="32"/>
          <w:szCs w:val="32"/>
          <w:lang w:val="en-US"/>
        </w:rPr>
      </w:r>
      <w:r/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sz w:val="28"/>
          <w:szCs w:val="32"/>
          <w:lang w:val="en-US"/>
        </w:rPr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Процент заявлений о предоставлении лицензий, поданных с использованием федеральной государственной информационной системы «Единый портал государственных и муниципальных услуг (функций)», %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100</w:t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2.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Достижение ключевых показателей вида государственного лицензионного кон</w:t>
      </w:r>
      <w:r>
        <w:rPr>
          <w:rFonts w:cs="Lohit Devanagari" w:eastAsia="WenQuanYi Zen Hei Sharp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hi-IN" w:eastAsia="zh-CN"/>
        </w:rPr>
        <w:t xml:space="preserve">т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роля (надзора)*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Расчет не возможен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 Средний срок предоставления лицензии (дней)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10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4. Средний срок внесения изменений в реестр лицензий (при намерении лицензиата осуществлять лицензируемую деятельность по новому адресу или при намерении выполнять (оказывать) новые работы (услуги) в составе лицензируемого вида деятельности) (дней)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10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5. Процент заявлений о предоставлении лицензии, рассмотренных лицензирующим органом с нарушением установленного срока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 xml:space="preserve">0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6. Процент заявлений о внесении изменений в реестр лицензий (при намерении лицензиата осуществлять лицензируемую деятельность по новому адресу или при намерении выполнять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(оказывать) новые работы (услуги) в составе лицензируемого вида деятельности), рассмотренных лицензирующим органом с нарушением установленного срока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center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 xml:space="preserve">0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*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соответствии с пунктами 53 и 54 Положения ключевым показателем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лицензионного контроля, достижение которого обеспечивается лицензирующим органом, является отношение разности количества объектов лицензионного контроля, в отношении которых в отчетном п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ериоде принято решение об их отнесении к определенной категории риска, к общему количеству объектов лицензионного контроля, которым присвоена категория риска, на день окончания отчетного периода, а целевым (плановым) значением — его положительное значение.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В настоящее время, учитывая действие моратория на проведение плановых и особый порядок проведения внеплановых контрольных (надзорных) мероприятий, установленный постановлением Правительства Российской Федерации от 10 марта 2022 года № 336 «Об особенностях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организ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ации и осуществления государственного контроля (надзора), муниципального контроля» и который действовал в 2022 году и распространен на 2023 год, добиться положительного значения ключевого показателя в соответствии с предлагаемой формулой, будет невозможно.</w:t>
      </w:r>
      <w:r>
        <w:rPr>
          <w:sz w:val="28"/>
        </w:rPr>
      </w:r>
      <w:r>
        <w:rPr>
          <w:sz w:val="28"/>
        </w:rPr>
      </w:r>
    </w:p>
    <w:p>
      <w:pPr>
        <w:pStyle w:val="556"/>
        <w:contextualSpacing w:val="true"/>
        <w:ind w:firstLine="0"/>
        <w:jc w:val="both"/>
        <w:spacing w:after="0" w:before="0"/>
        <w:tabs>
          <w:tab w:val="left" w:pos="0" w:leader="none"/>
          <w:tab w:val="clear" w:pos="708" w:leader="none"/>
        </w:tabs>
        <w:rPr>
          <w:sz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 xml:space="preserve">По состоянию на 1 января 2023 года в Единый реестр видов контроля внесены сведения о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410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объектах контроля, относящихся к средней категории риска и о 18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объектах контроля, относящихся к низкой категории риска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Объекты лицензионного контроля, относящихся к высокой категории риска, в общем перечне объектов отсутствуют.</w:t>
      </w:r>
      <w:r>
        <w:rPr>
          <w:sz w:val="28"/>
        </w:rPr>
      </w:r>
      <w:r>
        <w:rPr>
          <w:sz w:val="28"/>
        </w:rPr>
      </w:r>
    </w:p>
    <w:p>
      <w:pPr>
        <w:rPr>
          <w:sz w:val="26"/>
        </w:rPr>
      </w:pPr>
      <w:r>
        <w:rPr>
          <w:sz w:val="26"/>
          <w:szCs w:val="32"/>
          <w:lang w:val="en-US"/>
        </w:rPr>
      </w:r>
      <w:r>
        <w:rPr>
          <w:sz w:val="26"/>
          <w:szCs w:val="32"/>
        </w:rPr>
      </w:r>
      <w:r>
        <w:rPr>
          <w:sz w:val="26"/>
        </w:rPr>
      </w:r>
    </w:p>
    <w:p>
      <w:pPr>
        <w:rPr>
          <w:sz w:val="26"/>
        </w:rPr>
      </w:pPr>
      <w:r>
        <w:rPr>
          <w:sz w:val="26"/>
          <w:szCs w:val="32"/>
          <w:lang w:val="en-US"/>
        </w:rPr>
      </w:r>
      <w:r>
        <w:rPr>
          <w:sz w:val="26"/>
          <w:szCs w:val="32"/>
          <w:lang w:val="en-US"/>
        </w:rPr>
      </w:r>
      <w:r>
        <w:rPr>
          <w:sz w:val="26"/>
        </w:rPr>
      </w:r>
    </w:p>
    <w:p>
      <w:pPr>
        <w:rPr>
          <w:sz w:val="26"/>
          <w:szCs w:val="32"/>
        </w:rPr>
      </w:pPr>
      <w:r>
        <w:rPr>
          <w:sz w:val="26"/>
        </w:rPr>
      </w:r>
    </w:p>
    <w:p>
      <w:pPr>
        <w:rPr>
          <w:sz w:val="26"/>
          <w:szCs w:val="32"/>
        </w:rPr>
      </w:pPr>
      <w:r>
        <w:rPr>
          <w:sz w:val="26"/>
          <w:szCs w:val="32"/>
          <w:lang w:val="en-US"/>
        </w:rPr>
      </w:r>
      <w:r>
        <w:rPr>
          <w:sz w:val="26"/>
        </w:rPr>
      </w:r>
    </w:p>
    <w:p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</w:r>
      <w:r/>
    </w:p>
    <w:sectPr>
      <w:headerReference w:type="default" r:id="rId7"/>
      <w:footerReference w:type="default" r:id="rId8"/>
      <w:footnotePr/>
      <w:type w:val="nextPage"/>
      <w:pgSz w:w="11906" w:h="16838" w:orient="portrait"/>
      <w:pgMar w:top="1134" w:right="850" w:bottom="1134" w:left="1701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20B0600000000000000"/>
  </w:font>
  <w:font w:name="WenQuanYi Zen Hei Sharp">
    <w:panose1 w:val="02000603000000000000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  <w:p>
    <w:pPr>
      <w:pStyle w:val="5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60"/>
      <w:jc w:val="center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basedOn w:val="556"/>
    <w:next w:val="556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basedOn w:val="557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basedOn w:val="556"/>
    <w:next w:val="556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basedOn w:val="557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basedOn w:val="556"/>
    <w:next w:val="556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basedOn w:val="557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basedOn w:val="556"/>
    <w:next w:val="556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basedOn w:val="557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basedOn w:val="556"/>
    <w:next w:val="556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basedOn w:val="557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basedOn w:val="556"/>
    <w:next w:val="556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basedOn w:val="557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basedOn w:val="556"/>
    <w:next w:val="556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basedOn w:val="557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basedOn w:val="556"/>
    <w:next w:val="556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basedOn w:val="557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basedOn w:val="556"/>
    <w:next w:val="556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basedOn w:val="557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basedOn w:val="556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basedOn w:val="556"/>
    <w:next w:val="556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basedOn w:val="557"/>
    <w:link w:val="406"/>
    <w:uiPriority w:val="10"/>
    <w:rPr>
      <w:sz w:val="48"/>
      <w:szCs w:val="48"/>
    </w:rPr>
  </w:style>
  <w:style w:type="paragraph" w:styleId="408">
    <w:name w:val="Subtitle"/>
    <w:basedOn w:val="556"/>
    <w:next w:val="556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basedOn w:val="557"/>
    <w:link w:val="408"/>
    <w:uiPriority w:val="11"/>
    <w:rPr>
      <w:sz w:val="24"/>
      <w:szCs w:val="24"/>
    </w:rPr>
  </w:style>
  <w:style w:type="paragraph" w:styleId="410">
    <w:name w:val="Quote"/>
    <w:basedOn w:val="556"/>
    <w:next w:val="556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basedOn w:val="556"/>
    <w:next w:val="556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character" w:styleId="414">
    <w:name w:val="Header Char"/>
    <w:basedOn w:val="557"/>
    <w:link w:val="560"/>
    <w:uiPriority w:val="99"/>
  </w:style>
  <w:style w:type="character" w:styleId="415">
    <w:name w:val="Footer Char"/>
    <w:basedOn w:val="557"/>
    <w:link w:val="562"/>
    <w:uiPriority w:val="99"/>
  </w:style>
  <w:style w:type="table" w:styleId="416">
    <w:name w:val="Table Grid"/>
    <w:basedOn w:val="5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7">
    <w:name w:val="Table Grid Light"/>
    <w:basedOn w:val="5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8">
    <w:name w:val="Plain Table 1"/>
    <w:basedOn w:val="55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19">
    <w:name w:val="Plain Table 2"/>
    <w:basedOn w:val="55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0">
    <w:name w:val="Plain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1">
    <w:name w:val="Plain Table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2">
    <w:name w:val="Plain Table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3">
    <w:name w:val="Grid Table 1 Light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Grid Table 1 Light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5">
    <w:name w:val="Grid Table 1 Light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1">
    <w:name w:val="Grid Table 2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2">
    <w:name w:val="Grid Table 2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3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4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5">
    <w:name w:val="Grid Table 4 - Accent 1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6">
    <w:name w:val="Grid Table 4 - Accent 2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7">
    <w:name w:val="Grid Table 4 - Accent 3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48">
    <w:name w:val="Grid Table 4 - Accent 4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49">
    <w:name w:val="Grid Table 4 - Accent 5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0">
    <w:name w:val="Grid Table 4 - Accent 6"/>
    <w:basedOn w:val="55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1">
    <w:name w:val="Grid Table 5 Dark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2">
    <w:name w:val="Grid Table 5 Dark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3">
    <w:name w:val="Grid Table 5 Dark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4">
    <w:name w:val="Grid Table 5 Dark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5">
    <w:name w:val="Grid Table 5 Dark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7">
    <w:name w:val="Grid Table 5 Dark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58">
    <w:name w:val="Grid Table 6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59">
    <w:name w:val="Grid Table 6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0">
    <w:name w:val="Grid Table 6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1">
    <w:name w:val="Grid Table 6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2">
    <w:name w:val="Grid Table 6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3">
    <w:name w:val="Grid Table 6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4">
    <w:name w:val="Grid Table 6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5">
    <w:name w:val="Grid Table 7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Grid Table 7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Grid Table 7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List Table 1 Light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List Table 1 Light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0">
    <w:name w:val="List Table 2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1">
    <w:name w:val="List Table 2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2">
    <w:name w:val="List Table 2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3">
    <w:name w:val="List Table 2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4">
    <w:name w:val="List Table 2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5">
    <w:name w:val="List Table 2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6">
    <w:name w:val="List Table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List Table 3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List Table 3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4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5 Dark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1">
    <w:name w:val="List Table 5 Dark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2">
    <w:name w:val="List Table 5 Dark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6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08">
    <w:name w:val="List Table 6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09">
    <w:name w:val="List Table 6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0">
    <w:name w:val="List Table 6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1">
    <w:name w:val="List Table 6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2">
    <w:name w:val="List Table 6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3">
    <w:name w:val="List Table 6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4">
    <w:name w:val="List Table 7 Colorful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5">
    <w:name w:val="List Table 7 Colorful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16">
    <w:name w:val="List Table 7 Colorful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17">
    <w:name w:val="List Table 7 Colorful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18">
    <w:name w:val="List Table 7 Colorful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19">
    <w:name w:val="List Table 7 Colorful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0">
    <w:name w:val="List Table 7 Colorful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1">
    <w:name w:val="Lined - Accent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2">
    <w:name w:val="Lined - Accent 1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3">
    <w:name w:val="Lined - Accent 2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4">
    <w:name w:val="Lined - Accent 3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5">
    <w:name w:val="Lined - Accent 4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6">
    <w:name w:val="Lined - Accent 5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7">
    <w:name w:val="Lined - Accent 6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28">
    <w:name w:val="Bordered &amp; Lined - Accent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9">
    <w:name w:val="Bordered &amp; Lined - Accent 1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0">
    <w:name w:val="Bordered &amp; Lined - Accent 2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1">
    <w:name w:val="Bordered &amp; Lined - Accent 3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2">
    <w:name w:val="Bordered &amp; Lined - Accent 4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3">
    <w:name w:val="Bordered &amp; Lined - Accent 5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4">
    <w:name w:val="Bordered &amp; Lined - Accent 6"/>
    <w:basedOn w:val="5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5">
    <w:name w:val="Bordered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6">
    <w:name w:val="Bordered - Accent 1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7">
    <w:name w:val="Bordered - Accent 2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38">
    <w:name w:val="Bordered - Accent 3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39">
    <w:name w:val="Bordered - Accent 4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0">
    <w:name w:val="Bordered - Accent 5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1">
    <w:name w:val="Bordered - Accent 6"/>
    <w:basedOn w:val="5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2">
    <w:name w:val="Hyperlink"/>
    <w:uiPriority w:val="99"/>
    <w:unhideWhenUsed/>
    <w:rPr>
      <w:color w:val="0000FF" w:themeColor="hyperlink"/>
      <w:u w:val="single"/>
    </w:rPr>
  </w:style>
  <w:style w:type="paragraph" w:styleId="543">
    <w:name w:val="footnote text"/>
    <w:basedOn w:val="556"/>
    <w:link w:val="544"/>
    <w:uiPriority w:val="99"/>
    <w:semiHidden/>
    <w:unhideWhenUsed/>
    <w:rPr>
      <w:sz w:val="18"/>
    </w:rPr>
    <w:pPr>
      <w:spacing w:lineRule="auto" w:line="240" w:after="40"/>
    </w:pPr>
  </w:style>
  <w:style w:type="character" w:styleId="544">
    <w:name w:val="Footnote Text Char"/>
    <w:link w:val="543"/>
    <w:uiPriority w:val="99"/>
    <w:rPr>
      <w:sz w:val="18"/>
    </w:rPr>
  </w:style>
  <w:style w:type="character" w:styleId="545">
    <w:name w:val="footnote reference"/>
    <w:basedOn w:val="557"/>
    <w:uiPriority w:val="99"/>
    <w:unhideWhenUsed/>
    <w:rPr>
      <w:vertAlign w:val="superscript"/>
    </w:rPr>
  </w:style>
  <w:style w:type="paragraph" w:styleId="546">
    <w:name w:val="toc 1"/>
    <w:basedOn w:val="556"/>
    <w:next w:val="556"/>
    <w:uiPriority w:val="39"/>
    <w:unhideWhenUsed/>
    <w:pPr>
      <w:ind w:left="0" w:right="0" w:firstLine="0"/>
      <w:spacing w:after="57"/>
    </w:pPr>
  </w:style>
  <w:style w:type="paragraph" w:styleId="547">
    <w:name w:val="toc 2"/>
    <w:basedOn w:val="556"/>
    <w:next w:val="556"/>
    <w:uiPriority w:val="39"/>
    <w:unhideWhenUsed/>
    <w:pPr>
      <w:ind w:left="283" w:right="0" w:firstLine="0"/>
      <w:spacing w:after="57"/>
    </w:pPr>
  </w:style>
  <w:style w:type="paragraph" w:styleId="548">
    <w:name w:val="toc 3"/>
    <w:basedOn w:val="556"/>
    <w:next w:val="556"/>
    <w:uiPriority w:val="39"/>
    <w:unhideWhenUsed/>
    <w:pPr>
      <w:ind w:left="567" w:right="0" w:firstLine="0"/>
      <w:spacing w:after="57"/>
    </w:pPr>
  </w:style>
  <w:style w:type="paragraph" w:styleId="549">
    <w:name w:val="toc 4"/>
    <w:basedOn w:val="556"/>
    <w:next w:val="556"/>
    <w:uiPriority w:val="39"/>
    <w:unhideWhenUsed/>
    <w:pPr>
      <w:ind w:left="850" w:right="0" w:firstLine="0"/>
      <w:spacing w:after="57"/>
    </w:pPr>
  </w:style>
  <w:style w:type="paragraph" w:styleId="550">
    <w:name w:val="toc 5"/>
    <w:basedOn w:val="556"/>
    <w:next w:val="556"/>
    <w:uiPriority w:val="39"/>
    <w:unhideWhenUsed/>
    <w:pPr>
      <w:ind w:left="1134" w:right="0" w:firstLine="0"/>
      <w:spacing w:after="57"/>
    </w:pPr>
  </w:style>
  <w:style w:type="paragraph" w:styleId="551">
    <w:name w:val="toc 6"/>
    <w:basedOn w:val="556"/>
    <w:next w:val="556"/>
    <w:uiPriority w:val="39"/>
    <w:unhideWhenUsed/>
    <w:pPr>
      <w:ind w:left="1417" w:right="0" w:firstLine="0"/>
      <w:spacing w:after="57"/>
    </w:pPr>
  </w:style>
  <w:style w:type="paragraph" w:styleId="552">
    <w:name w:val="toc 7"/>
    <w:basedOn w:val="556"/>
    <w:next w:val="556"/>
    <w:uiPriority w:val="39"/>
    <w:unhideWhenUsed/>
    <w:pPr>
      <w:ind w:left="1701" w:right="0" w:firstLine="0"/>
      <w:spacing w:after="57"/>
    </w:pPr>
  </w:style>
  <w:style w:type="paragraph" w:styleId="553">
    <w:name w:val="toc 8"/>
    <w:basedOn w:val="556"/>
    <w:next w:val="556"/>
    <w:uiPriority w:val="39"/>
    <w:unhideWhenUsed/>
    <w:pPr>
      <w:ind w:left="1984" w:right="0" w:firstLine="0"/>
      <w:spacing w:after="57"/>
    </w:pPr>
  </w:style>
  <w:style w:type="paragraph" w:styleId="554">
    <w:name w:val="toc 9"/>
    <w:basedOn w:val="556"/>
    <w:next w:val="556"/>
    <w:uiPriority w:val="39"/>
    <w:unhideWhenUsed/>
    <w:pPr>
      <w:ind w:left="2268" w:right="0" w:firstLine="0"/>
      <w:spacing w:after="57"/>
    </w:pPr>
  </w:style>
  <w:style w:type="paragraph" w:styleId="555">
    <w:name w:val="TOC Heading"/>
    <w:uiPriority w:val="39"/>
    <w:unhideWhenUsed/>
  </w:style>
  <w:style w:type="paragraph" w:styleId="556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557" w:default="1">
    <w:name w:val="Default Paragraph Font"/>
    <w:uiPriority w:val="1"/>
    <w:semiHidden/>
    <w:unhideWhenUsed/>
  </w:style>
  <w:style w:type="table" w:styleId="5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59" w:default="1">
    <w:name w:val="No List"/>
    <w:uiPriority w:val="99"/>
    <w:semiHidden/>
    <w:unhideWhenUsed/>
  </w:style>
  <w:style w:type="paragraph" w:styleId="560">
    <w:name w:val="Header"/>
    <w:basedOn w:val="556"/>
    <w:semiHidden/>
    <w:unhideWhenUsed/>
    <w:pPr>
      <w:tabs>
        <w:tab w:val="center" w:pos="4677" w:leader="none"/>
        <w:tab w:val="right" w:pos="9355" w:leader="none"/>
      </w:tabs>
    </w:pPr>
  </w:style>
  <w:style w:type="character" w:styleId="561" w:customStyle="1">
    <w:name w:val="Верхний колонтитул Знак"/>
    <w:basedOn w:val="557"/>
    <w:rPr>
      <w:rFonts w:ascii="Times New Roman" w:hAnsi="Times New Roman" w:eastAsia="Times New Roman"/>
      <w:sz w:val="24"/>
      <w:szCs w:val="24"/>
    </w:rPr>
  </w:style>
  <w:style w:type="paragraph" w:styleId="562">
    <w:name w:val="Footer"/>
    <w:basedOn w:val="556"/>
    <w:semiHidden/>
    <w:unhideWhenUsed/>
    <w:pPr>
      <w:tabs>
        <w:tab w:val="center" w:pos="4677" w:leader="none"/>
        <w:tab w:val="right" w:pos="9355" w:leader="none"/>
      </w:tabs>
    </w:pPr>
  </w:style>
  <w:style w:type="character" w:styleId="563" w:customStyle="1">
    <w:name w:val="Нижний колонтитул Знак"/>
    <w:basedOn w:val="557"/>
    <w:rPr>
      <w:rFonts w:ascii="Times New Roman" w:hAnsi="Times New Roman" w:eastAsia="Times New Roman"/>
      <w:sz w:val="24"/>
      <w:szCs w:val="24"/>
    </w:rPr>
  </w:style>
  <w:style w:type="paragraph" w:styleId="564">
    <w:name w:val="Balloon Text"/>
    <w:basedOn w:val="556"/>
    <w:semiHidden/>
    <w:unhideWhenUsed/>
    <w:rPr>
      <w:rFonts w:ascii="Tahoma" w:hAnsi="Tahoma" w:cs="Tahoma"/>
      <w:sz w:val="16"/>
      <w:szCs w:val="16"/>
    </w:rPr>
  </w:style>
  <w:style w:type="character" w:styleId="565" w:customStyle="1">
    <w:name w:val="Текст выноски Знак"/>
    <w:basedOn w:val="557"/>
    <w:semiHidden/>
    <w:rPr>
      <w:rFonts w:ascii="Tahoma" w:hAnsi="Tahoma" w:cs="Tahoma" w:eastAsia="Times New Roman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2015-03-03T09:06:00Z</dcterms:created>
  <dcterms:modified xsi:type="dcterms:W3CDTF">2024-02-19T11:29:20Z</dcterms:modified>
</cp:coreProperties>
</file>